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A7F" w:rsidRDefault="00870EB0">
      <w:pPr>
        <w:pStyle w:val="LO-normal"/>
        <w:widowControl/>
        <w:shd w:val="clear" w:color="auto" w:fill="000000"/>
        <w:tabs>
          <w:tab w:val="left" w:pos="284"/>
        </w:tabs>
        <w:spacing w:line="360" w:lineRule="auto"/>
        <w:jc w:val="center"/>
        <w:rPr>
          <w:rFonts w:ascii="Arial" w:eastAsia="Arial" w:hAnsi="Arial" w:cs="Arial"/>
          <w:b/>
          <w:color w:val="FFFFFF"/>
          <w:shd w:val="clear" w:color="auto" w:fill="000000"/>
        </w:rPr>
      </w:pPr>
      <w:bookmarkStart w:id="0" w:name="_GoBack"/>
      <w:bookmarkEnd w:id="0"/>
      <w:r>
        <w:rPr>
          <w:rFonts w:ascii="Arial" w:eastAsia="Arial" w:hAnsi="Arial" w:cs="Arial"/>
          <w:b/>
          <w:color w:val="FFFFFF"/>
          <w:shd w:val="clear" w:color="auto" w:fill="000000"/>
        </w:rPr>
        <w:t>LISTA DE VERIFICAÇÃO</w:t>
      </w:r>
    </w:p>
    <w:p w:rsidR="00E66A7F" w:rsidRDefault="00870EB0">
      <w:pPr>
        <w:pStyle w:val="LO-normal"/>
        <w:widowControl/>
        <w:shd w:val="clear" w:color="auto" w:fill="000000"/>
        <w:tabs>
          <w:tab w:val="left" w:pos="284"/>
        </w:tabs>
        <w:spacing w:line="360" w:lineRule="auto"/>
        <w:jc w:val="center"/>
        <w:rPr>
          <w:rFonts w:ascii="Arial" w:eastAsia="Arial" w:hAnsi="Arial" w:cs="Arial"/>
          <w:b/>
          <w:color w:val="FFFFFF"/>
          <w:shd w:val="clear" w:color="auto" w:fill="000000"/>
        </w:rPr>
      </w:pPr>
      <w:r>
        <w:rPr>
          <w:rFonts w:ascii="Arial" w:eastAsia="Arial" w:hAnsi="Arial" w:cs="Arial"/>
          <w:b/>
          <w:color w:val="FFFFFF"/>
          <w:shd w:val="clear" w:color="auto" w:fill="000000"/>
        </w:rPr>
        <w:t>MINUTA DE EDITAL DE CHAMAMENTO PÚBLICO</w:t>
      </w:r>
    </w:p>
    <w:p w:rsidR="00E66A7F" w:rsidRDefault="00870EB0">
      <w:pPr>
        <w:pStyle w:val="LO-normal"/>
        <w:widowControl/>
        <w:shd w:val="clear" w:color="auto" w:fill="000000"/>
        <w:tabs>
          <w:tab w:val="left" w:pos="284"/>
        </w:tabs>
        <w:spacing w:line="360" w:lineRule="auto"/>
        <w:jc w:val="center"/>
        <w:rPr>
          <w:rFonts w:ascii="Arial" w:eastAsia="Arial" w:hAnsi="Arial" w:cs="Arial"/>
          <w:b/>
          <w:color w:val="FFFFFF"/>
          <w:shd w:val="clear" w:color="auto" w:fill="000000"/>
        </w:rPr>
      </w:pPr>
      <w:r>
        <w:rPr>
          <w:rFonts w:ascii="Arial" w:eastAsia="Arial" w:hAnsi="Arial" w:cs="Arial"/>
          <w:b/>
          <w:color w:val="FFFFFF"/>
          <w:shd w:val="clear" w:color="auto" w:fill="000000"/>
        </w:rPr>
        <w:t>DOAÇÃO DE BENS MÓVEIS INSERVÍVEIS E/OU DESNECESSÁRIOS PARA ÓRGÃOS PÚBLICOS</w:t>
      </w:r>
    </w:p>
    <w:p w:rsidR="00E66A7F" w:rsidRDefault="00E66A7F">
      <w:pPr>
        <w:pStyle w:val="LO-normal"/>
        <w:widowControl/>
        <w:shd w:val="clear" w:color="auto" w:fill="FFFFFF"/>
        <w:tabs>
          <w:tab w:val="left" w:pos="284"/>
        </w:tabs>
        <w:spacing w:line="360" w:lineRule="auto"/>
        <w:jc w:val="center"/>
        <w:rPr>
          <w:rFonts w:ascii="Calibri" w:eastAsia="Calibri" w:hAnsi="Calibri" w:cs="Calibri"/>
          <w:color w:val="000000"/>
        </w:rPr>
      </w:pPr>
    </w:p>
    <w:tbl>
      <w:tblPr>
        <w:tblW w:w="9645" w:type="dxa"/>
        <w:tblInd w:w="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7200"/>
        <w:gridCol w:w="1860"/>
      </w:tblGrid>
      <w:tr w:rsidR="00E66A7F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7F" w:rsidRDefault="00870EB0">
            <w:pPr>
              <w:pStyle w:val="LO-normal"/>
              <w:shd w:val="clear" w:color="auto" w:fill="000000"/>
              <w:spacing w:line="360" w:lineRule="auto"/>
              <w:jc w:val="center"/>
              <w:rPr>
                <w:rFonts w:ascii="Arial" w:eastAsia="Calibri" w:hAnsi="Arial" w:cs="Calibri"/>
                <w:color w:val="FFFFFF"/>
                <w:sz w:val="22"/>
                <w:szCs w:val="22"/>
                <w:shd w:val="clear" w:color="auto" w:fill="000000"/>
              </w:rPr>
            </w:pPr>
            <w:r>
              <w:rPr>
                <w:rFonts w:ascii="Arial" w:eastAsia="Calibri" w:hAnsi="Arial" w:cs="Calibri"/>
                <w:color w:val="FFFFFF"/>
                <w:sz w:val="22"/>
                <w:szCs w:val="22"/>
                <w:shd w:val="clear" w:color="auto" w:fill="000000"/>
              </w:rPr>
              <w:t>REQUISITOS GERAIS</w:t>
            </w:r>
          </w:p>
        </w:tc>
      </w:tr>
      <w:tr w:rsidR="00E66A7F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7F" w:rsidRDefault="00870EB0">
            <w:pPr>
              <w:pStyle w:val="LO-normal"/>
              <w:spacing w:line="360" w:lineRule="auto"/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  <w:t>01.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A7F" w:rsidRDefault="00870EB0">
            <w:pPr>
              <w:pStyle w:val="LO-normal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  <w:t xml:space="preserve">Existência de interesse 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  <w:t xml:space="preserve">público devidamente justificado (art. 76, </w:t>
            </w:r>
            <w:r>
              <w:rPr>
                <w:rFonts w:ascii="Arial" w:eastAsia="Calibri" w:hAnsi="Arial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>caput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  <w:t>, da Lei nº 14.133/2021).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7F" w:rsidRDefault="00870EB0">
            <w:pPr>
              <w:pStyle w:val="LO-normal"/>
              <w:spacing w:line="360" w:lineRule="auto"/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  <w:t>Fls.</w:t>
            </w:r>
          </w:p>
        </w:tc>
      </w:tr>
      <w:tr w:rsidR="00E66A7F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7F" w:rsidRDefault="00870EB0">
            <w:pPr>
              <w:pStyle w:val="LO-normal"/>
              <w:spacing w:line="360" w:lineRule="auto"/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  <w:t>02.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A7F" w:rsidRDefault="00870EB0">
            <w:pPr>
              <w:pStyle w:val="LO-normal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  <w:t>Prévia avaliação, visando à definição do preço mínimo, do(s) bem(</w:t>
            </w:r>
            <w:proofErr w:type="spellStart"/>
            <w:r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  <w:t>ns</w:t>
            </w:r>
            <w:proofErr w:type="spellEnd"/>
            <w:r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  <w:t xml:space="preserve">) que se pretende doar (art. 76, </w:t>
            </w:r>
            <w:r>
              <w:rPr>
                <w:rFonts w:ascii="Arial" w:eastAsia="Calibri" w:hAnsi="Arial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>caput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  <w:t>, da Lei nº 14.133/2021).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7F" w:rsidRDefault="00870EB0">
            <w:pPr>
              <w:pStyle w:val="LO-normal"/>
              <w:spacing w:line="360" w:lineRule="auto"/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  <w:t>Fls.</w:t>
            </w:r>
          </w:p>
        </w:tc>
      </w:tr>
      <w:tr w:rsidR="00E66A7F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7F" w:rsidRDefault="00870EB0">
            <w:pPr>
              <w:pStyle w:val="LO-normal"/>
              <w:spacing w:line="360" w:lineRule="auto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03.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A7F" w:rsidRDefault="00870EB0">
            <w:pPr>
              <w:pStyle w:val="LO-normal"/>
              <w:spacing w:line="360" w:lineRule="auto"/>
              <w:jc w:val="both"/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  <w:t xml:space="preserve">Justificativa contendo 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  <w:t>avaliação da oportunidade e conveniência socioeconômica da doação, abordado as razões para o preterimento de outra forma de alienação (art. 76, II, “a”, da Lei nº 14.133/2021).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7F" w:rsidRDefault="00870EB0">
            <w:pPr>
              <w:pStyle w:val="LO-normal"/>
              <w:spacing w:line="360" w:lineRule="auto"/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  <w:t>Fls.</w:t>
            </w:r>
          </w:p>
        </w:tc>
      </w:tr>
      <w:tr w:rsidR="00E66A7F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7F" w:rsidRDefault="00870EB0">
            <w:pPr>
              <w:pStyle w:val="LO-normal"/>
              <w:spacing w:line="360" w:lineRule="auto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04.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A7F" w:rsidRDefault="00870EB0">
            <w:pPr>
              <w:pStyle w:val="LO-normal"/>
              <w:spacing w:line="360" w:lineRule="auto"/>
              <w:jc w:val="both"/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  <w:t xml:space="preserve">Declaração de </w:t>
            </w:r>
            <w:proofErr w:type="spellStart"/>
            <w:r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  <w:t>inservibilidade</w:t>
            </w:r>
            <w:proofErr w:type="spellEnd"/>
            <w:r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  <w:t xml:space="preserve"> ou desnecessidade do(s) bem(</w:t>
            </w:r>
            <w:proofErr w:type="spellStart"/>
            <w:r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  <w:t>ns</w:t>
            </w:r>
            <w:proofErr w:type="spellEnd"/>
            <w:r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  <w:t xml:space="preserve">), 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  <w:t xml:space="preserve">elaborada pela Comissão de Inventário e </w:t>
            </w:r>
            <w:proofErr w:type="spellStart"/>
            <w:r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  <w:t>Inservibilidade</w:t>
            </w:r>
            <w:proofErr w:type="spellEnd"/>
            <w:r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  <w:t>, contendo os dados exigidos no parágrafo único, do art. 2º, do Decreto Estadual nº 4336/2009.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7F" w:rsidRDefault="00870EB0">
            <w:pPr>
              <w:pStyle w:val="LO-normal"/>
              <w:spacing w:line="360" w:lineRule="auto"/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  <w:t>Fls.</w:t>
            </w:r>
          </w:p>
        </w:tc>
      </w:tr>
      <w:tr w:rsidR="00E66A7F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7F" w:rsidRDefault="00870EB0">
            <w:pPr>
              <w:pStyle w:val="LO-normal"/>
              <w:spacing w:line="360" w:lineRule="auto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05.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A7F" w:rsidRDefault="00870EB0">
            <w:pPr>
              <w:pStyle w:val="LO-normal"/>
              <w:spacing w:line="360" w:lineRule="auto"/>
              <w:jc w:val="both"/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  <w:t xml:space="preserve">Resolução de designação da Comissão de Inventário e </w:t>
            </w:r>
            <w:proofErr w:type="spellStart"/>
            <w:r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  <w:t>Inservibilidade</w:t>
            </w:r>
            <w:proofErr w:type="spellEnd"/>
            <w:r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  <w:t xml:space="preserve"> a qual deverá ser constituíd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  <w:t>a de acordo com o disposto no art. 2º do Decreto Estadual nº 4.336/2009.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7F" w:rsidRDefault="00870EB0">
            <w:pPr>
              <w:pStyle w:val="LO-normal"/>
              <w:spacing w:line="360" w:lineRule="auto"/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  <w:t>Fls.</w:t>
            </w:r>
          </w:p>
        </w:tc>
      </w:tr>
      <w:tr w:rsidR="00E66A7F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7F" w:rsidRDefault="00870EB0">
            <w:pPr>
              <w:pStyle w:val="LO-normal"/>
              <w:spacing w:line="360" w:lineRule="auto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06.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A7F" w:rsidRDefault="00870EB0">
            <w:pPr>
              <w:pStyle w:val="LO-normal"/>
              <w:spacing w:line="360" w:lineRule="auto"/>
              <w:jc w:val="both"/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  <w:t>Consulta aos demais órgãos e/ou entidades da Administração Pública Estadual Direta, Autárquica ou Fundacional do Estado do Paraná acerca do interesse em receber o(s) bem(</w:t>
            </w:r>
            <w:proofErr w:type="spellStart"/>
            <w:r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  <w:t>ns</w:t>
            </w:r>
            <w:proofErr w:type="spellEnd"/>
            <w:r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  <w:t>)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  <w:t xml:space="preserve"> em doação.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7F" w:rsidRDefault="00870EB0">
            <w:pPr>
              <w:pStyle w:val="LO-normal"/>
              <w:spacing w:line="360" w:lineRule="auto"/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  <w:t>Fls.</w:t>
            </w:r>
          </w:p>
        </w:tc>
      </w:tr>
      <w:tr w:rsidR="00E66A7F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7F" w:rsidRDefault="00870EB0">
            <w:pPr>
              <w:pStyle w:val="LO-normal"/>
              <w:spacing w:line="360" w:lineRule="auto"/>
            </w:pPr>
            <w:r>
              <w:rPr>
                <w:rFonts w:ascii="Calibri" w:eastAsia="Calibri" w:hAnsi="Calibri" w:cs="Calibri"/>
                <w:shd w:val="clear" w:color="auto" w:fill="FFFFFF"/>
              </w:rPr>
              <w:t>07</w:t>
            </w: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A7F" w:rsidRDefault="00870EB0">
            <w:pPr>
              <w:pStyle w:val="LO-normal"/>
              <w:spacing w:line="360" w:lineRule="auto"/>
              <w:jc w:val="both"/>
              <w:rPr>
                <w:rFonts w:ascii="Arial" w:eastAsia="Calibri" w:hAnsi="Arial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Calibri"/>
                <w:sz w:val="22"/>
                <w:szCs w:val="22"/>
                <w:shd w:val="clear" w:color="auto" w:fill="FFFFFF"/>
              </w:rPr>
              <w:t>Relação completa do(s) lote(s) de bem(</w:t>
            </w:r>
            <w:proofErr w:type="spellStart"/>
            <w:r>
              <w:rPr>
                <w:rFonts w:ascii="Arial" w:eastAsia="Calibri" w:hAnsi="Arial" w:cs="Calibri"/>
                <w:sz w:val="22"/>
                <w:szCs w:val="22"/>
                <w:shd w:val="clear" w:color="auto" w:fill="FFFFFF"/>
              </w:rPr>
              <w:t>ns</w:t>
            </w:r>
            <w:proofErr w:type="spellEnd"/>
            <w:r>
              <w:rPr>
                <w:rFonts w:ascii="Arial" w:eastAsia="Calibri" w:hAnsi="Arial" w:cs="Calibri"/>
                <w:sz w:val="22"/>
                <w:szCs w:val="22"/>
                <w:shd w:val="clear" w:color="auto" w:fill="FFFFFF"/>
              </w:rPr>
              <w:t>) inservível(</w:t>
            </w:r>
            <w:proofErr w:type="spellStart"/>
            <w:r>
              <w:rPr>
                <w:rFonts w:ascii="Arial" w:eastAsia="Calibri" w:hAnsi="Arial" w:cs="Calibri"/>
                <w:sz w:val="22"/>
                <w:szCs w:val="22"/>
                <w:shd w:val="clear" w:color="auto" w:fill="FFFFFF"/>
              </w:rPr>
              <w:t>is</w:t>
            </w:r>
            <w:proofErr w:type="spellEnd"/>
            <w:r>
              <w:rPr>
                <w:rFonts w:ascii="Arial" w:eastAsia="Calibri" w:hAnsi="Arial" w:cs="Calibri"/>
                <w:sz w:val="22"/>
                <w:szCs w:val="22"/>
                <w:shd w:val="clear" w:color="auto" w:fill="FFFFFF"/>
              </w:rPr>
              <w:t>) e/ou desnecessário(s) a ser(em) doado(s), contendo o(s) respectivo(s) número(s) de patrimônio, descritivo(s) e valor(es).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7F" w:rsidRDefault="00870EB0">
            <w:pPr>
              <w:pStyle w:val="LO-normal"/>
              <w:spacing w:line="360" w:lineRule="auto"/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  <w:t>Fls.</w:t>
            </w:r>
          </w:p>
        </w:tc>
      </w:tr>
      <w:tr w:rsidR="00E66A7F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7F" w:rsidRDefault="00870EB0">
            <w:pPr>
              <w:pStyle w:val="LO-normal"/>
              <w:spacing w:line="360" w:lineRule="auto"/>
            </w:pPr>
            <w:r>
              <w:rPr>
                <w:rFonts w:ascii="Calibri" w:eastAsia="Calibri" w:hAnsi="Calibri" w:cs="Calibri"/>
                <w:shd w:val="clear" w:color="auto" w:fill="FFFFFF"/>
              </w:rPr>
              <w:t>08</w:t>
            </w: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A7F" w:rsidRDefault="00870EB0">
            <w:pPr>
              <w:pStyle w:val="LO-normal"/>
              <w:spacing w:line="360" w:lineRule="auto"/>
              <w:jc w:val="both"/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  <w:t xml:space="preserve">Minuta do Edital de Chamamento Público, 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  <w:t>aprovada pela PGE.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7F" w:rsidRDefault="00870EB0">
            <w:pPr>
              <w:pStyle w:val="LO-normal"/>
              <w:spacing w:line="360" w:lineRule="auto"/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  <w:t>Fls.</w:t>
            </w:r>
          </w:p>
        </w:tc>
      </w:tr>
      <w:tr w:rsidR="00E66A7F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7F" w:rsidRDefault="00870EB0">
            <w:pPr>
              <w:pStyle w:val="LO-normal"/>
              <w:spacing w:line="360" w:lineRule="auto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09.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7F" w:rsidRDefault="00870EB0">
            <w:pPr>
              <w:pStyle w:val="LO-normal"/>
              <w:spacing w:line="360" w:lineRule="auto"/>
              <w:jc w:val="both"/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  <w:t>Ato do Secretário de Estado ou do Dirigente da Entidade da Administração Indireta autorizando a publicação do Edital de Chamamento Público.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7F" w:rsidRDefault="00870EB0">
            <w:pPr>
              <w:pStyle w:val="LO-normal"/>
              <w:spacing w:line="360" w:lineRule="auto"/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shd w:val="clear" w:color="auto" w:fill="FFFFFF"/>
              </w:rPr>
              <w:t>Fls.</w:t>
            </w:r>
          </w:p>
        </w:tc>
      </w:tr>
    </w:tbl>
    <w:p w:rsidR="00E66A7F" w:rsidRDefault="00E66A7F">
      <w:pPr>
        <w:pStyle w:val="LO-normal"/>
        <w:widowControl/>
        <w:shd w:val="clear" w:color="auto" w:fill="FFFFFF"/>
        <w:tabs>
          <w:tab w:val="left" w:pos="284"/>
        </w:tabs>
        <w:spacing w:before="57" w:after="57" w:line="360" w:lineRule="auto"/>
        <w:rPr>
          <w:rFonts w:ascii="Calibri" w:eastAsia="Calibri" w:hAnsi="Calibri" w:cs="Calibri"/>
          <w:color w:val="FF0000"/>
        </w:rPr>
      </w:pPr>
    </w:p>
    <w:p w:rsidR="00E66A7F" w:rsidRDefault="00870EB0">
      <w:pPr>
        <w:pStyle w:val="LO-normal"/>
        <w:widowControl/>
        <w:shd w:val="clear" w:color="auto" w:fill="FFFFFF"/>
        <w:tabs>
          <w:tab w:val="left" w:pos="284"/>
        </w:tabs>
        <w:spacing w:before="57" w:after="57" w:line="36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noProof/>
          <w:color w:val="FF0000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34920</wp:posOffset>
                </wp:positionH>
                <wp:positionV relativeFrom="paragraph">
                  <wp:posOffset>41760</wp:posOffset>
                </wp:positionV>
                <wp:extent cx="6121080" cy="2219760"/>
                <wp:effectExtent l="0" t="0" r="13020" b="28140"/>
                <wp:wrapNone/>
                <wp:docPr id="2" name="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080" cy="22197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66A7F" w:rsidRDefault="00870EB0">
                            <w:pPr>
                              <w:pStyle w:val="Standard"/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Nota explicativa 1</w:t>
                            </w:r>
                          </w:p>
                          <w:p w:rsidR="00E66A7F" w:rsidRDefault="00870EB0">
                            <w:pPr>
                              <w:pStyle w:val="Standard"/>
                              <w:spacing w:line="360" w:lineRule="auto"/>
                              <w:jc w:val="both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(Obs. As notas explicativas são meramente orientativas.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Portanto, deverão ser excluídas da lista de verificação antes da impressão do documento)</w:t>
                            </w:r>
                          </w:p>
                          <w:p w:rsidR="00E66A7F" w:rsidRDefault="00870EB0">
                            <w:pPr>
                              <w:pStyle w:val="Standard"/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 -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Esta lista de verificação refere-se à instrução do protocolo cujo objeto é a publicação da minuta do Edital de Chamamento Público para a doação de bens móveis ins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ervíveis e/ou desnecessários tendo por destinatários Entes da Federação. Não estão contemplados aqui os documentos necessários para a realização da doação propriamente dita, eis que referidos documentos constam na própria Minuta de Edital de Chamamento Púb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lico e deverão ser apresentados no decorrer do certame.</w:t>
                            </w:r>
                          </w:p>
                          <w:p w:rsidR="00E66A7F" w:rsidRDefault="00870EB0">
                            <w:pPr>
                              <w:pStyle w:val="Standard"/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II -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A Secretaria de Estado poderá efetuar a juntada de outros documentos que entender pertinentes.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1" o:spid="_x0000_s1026" style="position:absolute;margin-left:2.75pt;margin-top:3.3pt;width:481.95pt;height:174.8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899lQIAABcGAAAOAAAAZHJzL2Uyb0RvYy54bWysVNtq3DAQfS/0H4TeG19aNukSbyhZUgqh&#10;DWz6AVpZXhtkSUjK2vn7HsmWs2mzUEr9YM14jo9mjkZzfTP2khyFdZ1WFS0uckqE4rru1KGiPx/v&#10;PlxR4jxTNZNaiYo+C0dvNu/fXQ9mLUrdalkLS0Ci3HowFW29N+ssc7wVPXMX2giFYKNtzzxce8hq&#10;ywaw9zIr83yVDdrWxmounMPX7RSkm8jfNIL7H03jhCeyosjNx7eN7314Z5trtj5YZtqOz2mwf8ii&#10;Z53CpgvVlnlGnmz3B1XfcaudbvwF132mm6bjItaAaor8t2p2LTMi1gJxnFlkcv+Pln8/PljS1RUt&#10;KVGsxxHdBbFJEaQZjFsDsTMPdvYczFDn2Ng+rKiAjFHO50VOMXrC8XFVlEV+BdU5YmVZfL5cRcGz&#10;l9/5k/NfhY5U7Hjv/HQeNayoZj3n1ICl6SWO5sgkSce2RIvTaFms8rTPITGxNpHzUc3ssAgLffqR&#10;15/i6RntQjUtpwQp+yABkgUuJLPA81OsjdAjP4N9m3l/Fl2ecss3uKd85gos+jt0NoDobE8JOhsJ&#10;obPjDmxtmA+Fh/SDSQYcRJSHtMkKsV4fxaOOKB8ECHJDACyTAi9xqV7hIPwpLkXTaia2GRVbCvmn&#10;aFpn1Lzn36FSZomDS+3ElGwoNJ7bUnzQ7KTRnJZdfddJGQp29rC/lZagr9D6eJbeeQWTKmhXlJcI&#10;x9/OcuTxmYV7xWGs81vm2mmvGJphEg2Whcs2Xa9g+XE/op5g7nX9jEs6YEpVVGGMUiK/KQwBKOaT&#10;YZOxTwZTvNVoCO7REpNz6+HjL8weiHOvdoYHPxSk9Jcnr5su3MCYyrTr7GD6REnnSRnG26kfUS/z&#10;fPMLAAD//wMAUEsDBBQABgAIAAAAIQBRuNZj3AAAAAcBAAAPAAAAZHJzL2Rvd25yZXYueG1sTI7B&#10;TsMwEETvSPyDtUjcqENpojSNUyGgEhInAuLsxls7aryObDcNfD3mRI+jGb159Xa2A5vQh96RgPtF&#10;Bgypc6onLeDzY3dXAgtRkpKDIxTwjQG2zfVVLSvlzvSOUxs1SxAKlRRgYhwrzkNn0MqwcCNS6g7O&#10;WxlT9JorL88Jbge+zLKCW9lTejByxCeD3bE9WQFl+NmZZ+1fp6PG1Uvb6fLrTQtxezM/boBFnOP/&#10;GP70kzo0yWnvTqQCGwTkeRoKKApgqV0X6xWwvYCHvFgCb2p+6d/8AgAA//8DAFBLAQItABQABgAI&#10;AAAAIQC2gziS/gAAAOEBAAATAAAAAAAAAAAAAAAAAAAAAABbQ29udGVudF9UeXBlc10ueG1sUEsB&#10;Ai0AFAAGAAgAAAAhADj9If/WAAAAlAEAAAsAAAAAAAAAAAAAAAAALwEAAF9yZWxzLy5yZWxzUEsB&#10;Ai0AFAAGAAgAAAAhAH1nz32VAgAAFwYAAA4AAAAAAAAAAAAAAAAALgIAAGRycy9lMm9Eb2MueG1s&#10;UEsBAi0AFAAGAAgAAAAhAFG41mPcAAAABwEAAA8AAAAAAAAAAAAAAAAA7wQAAGRycy9kb3ducmV2&#10;LnhtbFBLBQYAAAAABAAEAPMAAAD4BQAAAAA=&#10;" adj="-11796480,,5400" path="m,l21600,r,21600l,21600,,xe" fillcolor="yellow" strokeweight="1pt">
                <v:stroke joinstyle="miter"/>
                <v:formulas/>
                <v:path arrowok="t" o:connecttype="custom" o:connectlocs="3060540,0;6121080,1109880;3060540,2219760;0,1109880" o:connectangles="270,0,90,180" textboxrect="0,0,21600,21600"/>
                <v:textbox inset="0,0,0,0">
                  <w:txbxContent>
                    <w:p w:rsidR="00E66A7F" w:rsidRDefault="00870EB0">
                      <w:pPr>
                        <w:pStyle w:val="Standard"/>
                        <w:spacing w:line="360" w:lineRule="auto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Nota explicativa 1</w:t>
                      </w:r>
                    </w:p>
                    <w:p w:rsidR="00E66A7F" w:rsidRDefault="00870EB0">
                      <w:pPr>
                        <w:pStyle w:val="Standard"/>
                        <w:spacing w:line="360" w:lineRule="auto"/>
                        <w:jc w:val="both"/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(Obs. As notas explicativas são meramente orientativas.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Portanto, deverão ser excluídas da lista de verificação antes da impressão do documento)</w:t>
                      </w:r>
                    </w:p>
                    <w:p w:rsidR="00E66A7F" w:rsidRDefault="00870EB0">
                      <w:pPr>
                        <w:pStyle w:val="Standard"/>
                        <w:spacing w:line="360" w:lineRule="auto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 -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Esta lista de verificação refere-se à instrução do protocolo cujo objeto é a publicação da minuta do Edital de Chamamento Público para a doação de bens móveis ins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ervíveis e/ou desnecessários tendo por destinatários Entes da Federação. Não estão contemplados aqui os documentos necessários para a realização da doação propriamente dita, eis que referidos documentos constam na própria Minuta de Edital de Chamamento Púb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lico e deverão ser apresentados no decorrer do certame.</w:t>
                      </w:r>
                    </w:p>
                    <w:p w:rsidR="00E66A7F" w:rsidRDefault="00870EB0">
                      <w:pPr>
                        <w:pStyle w:val="Standard"/>
                        <w:spacing w:line="360" w:lineRule="auto"/>
                        <w:jc w:val="both"/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II -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A Secretaria de Estado poderá efetuar a juntada de outros documentos que entender pertinentes.</w:t>
                      </w:r>
                    </w:p>
                  </w:txbxContent>
                </v:textbox>
              </v:shape>
            </w:pict>
          </mc:Fallback>
        </mc:AlternateContent>
      </w:r>
    </w:p>
    <w:p w:rsidR="00E66A7F" w:rsidRDefault="00E66A7F">
      <w:pPr>
        <w:pStyle w:val="LO-normal"/>
        <w:widowControl/>
        <w:shd w:val="clear" w:color="auto" w:fill="FFFFFF"/>
        <w:tabs>
          <w:tab w:val="left" w:pos="284"/>
        </w:tabs>
        <w:spacing w:before="57" w:after="57" w:line="360" w:lineRule="auto"/>
        <w:rPr>
          <w:rFonts w:ascii="Calibri" w:eastAsia="Calibri" w:hAnsi="Calibri" w:cs="Calibri"/>
          <w:color w:val="000000"/>
        </w:rPr>
      </w:pPr>
    </w:p>
    <w:p w:rsidR="00E66A7F" w:rsidRDefault="00E66A7F">
      <w:pPr>
        <w:pStyle w:val="LO-normal"/>
        <w:widowControl/>
        <w:shd w:val="clear" w:color="auto" w:fill="FFFFFF"/>
        <w:tabs>
          <w:tab w:val="left" w:pos="284"/>
        </w:tabs>
        <w:spacing w:before="57" w:after="57" w:line="360" w:lineRule="auto"/>
        <w:rPr>
          <w:rFonts w:ascii="Calibri" w:eastAsia="Calibri" w:hAnsi="Calibri" w:cs="Calibri"/>
          <w:color w:val="000000"/>
        </w:rPr>
      </w:pPr>
    </w:p>
    <w:p w:rsidR="00E66A7F" w:rsidRDefault="00E66A7F">
      <w:pPr>
        <w:pStyle w:val="LO-normal"/>
        <w:widowControl/>
        <w:shd w:val="clear" w:color="auto" w:fill="FFFFFF"/>
        <w:tabs>
          <w:tab w:val="left" w:pos="284"/>
        </w:tabs>
        <w:spacing w:before="57" w:after="57" w:line="360" w:lineRule="auto"/>
        <w:rPr>
          <w:rFonts w:ascii="Calibri" w:eastAsia="Calibri" w:hAnsi="Calibri" w:cs="Calibri"/>
          <w:color w:val="000000"/>
        </w:rPr>
      </w:pPr>
    </w:p>
    <w:p w:rsidR="00E66A7F" w:rsidRDefault="00E66A7F">
      <w:pPr>
        <w:pStyle w:val="Standard"/>
        <w:tabs>
          <w:tab w:val="left" w:pos="2865"/>
        </w:tabs>
        <w:spacing w:line="360" w:lineRule="auto"/>
        <w:jc w:val="center"/>
        <w:rPr>
          <w:rFonts w:ascii="Arial" w:hAnsi="Arial"/>
          <w:b/>
          <w:bCs/>
          <w:color w:val="000000"/>
          <w:sz w:val="22"/>
          <w:szCs w:val="22"/>
          <w:shd w:val="clear" w:color="auto" w:fill="FFFF00"/>
        </w:rPr>
      </w:pPr>
    </w:p>
    <w:p w:rsidR="00E66A7F" w:rsidRDefault="00E66A7F">
      <w:pPr>
        <w:pStyle w:val="Standard"/>
        <w:tabs>
          <w:tab w:val="left" w:pos="2865"/>
        </w:tabs>
        <w:spacing w:line="360" w:lineRule="auto"/>
        <w:jc w:val="center"/>
        <w:rPr>
          <w:rFonts w:ascii="Arial" w:hAnsi="Arial"/>
          <w:b/>
          <w:bCs/>
          <w:color w:val="000000"/>
          <w:sz w:val="22"/>
          <w:szCs w:val="22"/>
          <w:shd w:val="clear" w:color="auto" w:fill="FFFF00"/>
        </w:rPr>
      </w:pPr>
    </w:p>
    <w:p w:rsidR="00E66A7F" w:rsidRDefault="00E66A7F">
      <w:pPr>
        <w:pStyle w:val="Standard"/>
        <w:tabs>
          <w:tab w:val="left" w:pos="2865"/>
        </w:tabs>
        <w:spacing w:line="360" w:lineRule="auto"/>
        <w:jc w:val="center"/>
        <w:rPr>
          <w:rFonts w:ascii="Arial" w:hAnsi="Arial"/>
          <w:b/>
          <w:bCs/>
          <w:color w:val="000000"/>
          <w:sz w:val="22"/>
          <w:szCs w:val="22"/>
          <w:shd w:val="clear" w:color="auto" w:fill="FFFF00"/>
        </w:rPr>
      </w:pPr>
    </w:p>
    <w:p w:rsidR="00E66A7F" w:rsidRDefault="00E66A7F">
      <w:pPr>
        <w:pStyle w:val="Standard"/>
        <w:tabs>
          <w:tab w:val="left" w:pos="2865"/>
        </w:tabs>
        <w:spacing w:line="360" w:lineRule="auto"/>
        <w:jc w:val="center"/>
        <w:rPr>
          <w:rFonts w:ascii="Arial" w:hAnsi="Arial"/>
          <w:b/>
          <w:bCs/>
          <w:color w:val="000000"/>
          <w:sz w:val="22"/>
          <w:szCs w:val="22"/>
          <w:shd w:val="clear" w:color="auto" w:fill="FFFF00"/>
        </w:rPr>
      </w:pPr>
    </w:p>
    <w:p w:rsidR="00E66A7F" w:rsidRDefault="00E66A7F">
      <w:pPr>
        <w:pStyle w:val="Standard"/>
        <w:tabs>
          <w:tab w:val="left" w:pos="2865"/>
        </w:tabs>
        <w:spacing w:line="360" w:lineRule="auto"/>
        <w:jc w:val="center"/>
        <w:rPr>
          <w:rFonts w:ascii="Arial" w:hAnsi="Arial"/>
          <w:b/>
          <w:bCs/>
          <w:color w:val="000000"/>
          <w:sz w:val="22"/>
          <w:szCs w:val="22"/>
          <w:shd w:val="clear" w:color="auto" w:fill="FFFF00"/>
        </w:rPr>
      </w:pPr>
    </w:p>
    <w:p w:rsidR="00E66A7F" w:rsidRDefault="00870EB0">
      <w:pPr>
        <w:pStyle w:val="Standard"/>
        <w:tabs>
          <w:tab w:val="left" w:pos="2865"/>
        </w:tabs>
        <w:spacing w:line="360" w:lineRule="auto"/>
        <w:jc w:val="center"/>
        <w:rPr>
          <w:rFonts w:ascii="Arial" w:hAnsi="Arial"/>
          <w:b/>
          <w:bCs/>
          <w:color w:val="000000"/>
          <w:sz w:val="22"/>
          <w:szCs w:val="22"/>
          <w:shd w:val="clear" w:color="auto" w:fill="FFFF00"/>
        </w:rPr>
      </w:pPr>
      <w:r>
        <w:rPr>
          <w:rFonts w:ascii="Arial" w:hAnsi="Arial"/>
          <w:b/>
          <w:bCs/>
          <w:noProof/>
          <w:color w:val="000000"/>
          <w:sz w:val="22"/>
          <w:szCs w:val="22"/>
          <w:shd w:val="clear" w:color="auto" w:fill="FFFF00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-4320</wp:posOffset>
                </wp:positionH>
                <wp:positionV relativeFrom="paragraph">
                  <wp:posOffset>-24840</wp:posOffset>
                </wp:positionV>
                <wp:extent cx="6141240" cy="4810320"/>
                <wp:effectExtent l="0" t="0" r="11910" b="28380"/>
                <wp:wrapNone/>
                <wp:docPr id="3" name="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240" cy="48103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66A7F" w:rsidRDefault="00870EB0">
                            <w:pPr>
                              <w:pStyle w:val="Standard"/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Nota explicativa 2</w:t>
                            </w:r>
                          </w:p>
                          <w:p w:rsidR="00E66A7F" w:rsidRDefault="00870EB0">
                            <w:pPr>
                              <w:pStyle w:val="Standard"/>
                              <w:spacing w:line="360" w:lineRule="auto"/>
                              <w:jc w:val="both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(Obs. As notas explicativas são meramente orientativas. Portanto,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deverão ser excluídas da lista de verificação antes da impressão do documento)</w:t>
                            </w:r>
                          </w:p>
                          <w:p w:rsidR="00E66A7F" w:rsidRDefault="00870EB0">
                            <w:pPr>
                              <w:pStyle w:val="Standard"/>
                              <w:spacing w:line="360" w:lineRule="auto"/>
                              <w:jc w:val="both"/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Deverá ser observado o disposto no art. 73, VI, “a” da Lei nº 9.504/1997, sendo vedada a doação no período de 3 (três) meses que antecedem a realização das eleições, até a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finalização do pleito eleitoral, para entes que não integrem a estrutura da Administração Pública do Estado do Paraná, conforme entendimento contido no Parecer nº 02/2024 – PGE.</w:t>
                            </w:r>
                          </w:p>
                          <w:p w:rsidR="00E66A7F" w:rsidRDefault="00E66A7F">
                            <w:pPr>
                              <w:pStyle w:val="Standard"/>
                              <w:spacing w:line="360" w:lineRule="auto"/>
                              <w:jc w:val="both"/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66A7F" w:rsidRDefault="00870EB0">
                            <w:pPr>
                              <w:pStyle w:val="Standard"/>
                              <w:spacing w:line="360" w:lineRule="auto"/>
                              <w:jc w:val="both"/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Além disso, recomenda-se observar as medidas de cautela citadas no referido p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arecer:</w:t>
                            </w:r>
                          </w:p>
                          <w:p w:rsidR="00E66A7F" w:rsidRDefault="00E66A7F">
                            <w:pPr>
                              <w:pStyle w:val="Standard"/>
                              <w:spacing w:line="360" w:lineRule="auto"/>
                              <w:jc w:val="both"/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66A7F" w:rsidRDefault="00870EB0">
                            <w:pPr>
                              <w:pStyle w:val="Standard"/>
                              <w:spacing w:line="360" w:lineRule="auto"/>
                              <w:jc w:val="both"/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a)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Não pode o Ente da Federação recebedor do bem figurar como mero intermediário, transferindo o bem à população diretamente beneficiada. Por outro lado, isso não obsta a transferência do bem ao Ente da Federação para a prática de atos preparatóri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os que antecederão a efetiva destinação aos beneficiários finais, que só poderá ocorrer fora do período vedado;</w:t>
                            </w:r>
                          </w:p>
                          <w:p w:rsidR="00E66A7F" w:rsidRDefault="00E66A7F">
                            <w:pPr>
                              <w:pStyle w:val="Standard"/>
                              <w:spacing w:line="360" w:lineRule="auto"/>
                              <w:jc w:val="both"/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66A7F" w:rsidRDefault="00870EB0">
                            <w:pPr>
                              <w:pStyle w:val="Standard"/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b)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O gestor deverá observar o princípio básico de vedação de condutas dos agentes públicos, de forma a não afetar a igualdade de oportunidades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entre candidatos nos pleitos eleitorais, sugerindo-se que a divulgação do ato seja a mínima necessária ao atendimento do princípio da publicidade formal prevista em Lei, não sendo recomendada a realização de qualquer solenidade, tais como celebração de cer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imônias simbólicas, atos públicos, eventos, reunião de pessoas para fins de divulgação, enfim, qualquer forma de exaltação do ato administrativo, sob pena de responsabilização do agente público que assim proceder.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2" o:spid="_x0000_s1027" style="position:absolute;left:0;text-align:left;margin-left:-.35pt;margin-top:-1.95pt;width:483.55pt;height:378.75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sblQIAAB4GAAAOAAAAZHJzL2Uyb0RvYy54bWysVNuK2zAQfS/0H4TeG18S0iXEWcqGlMLS&#10;Luz2AxRZjg2yJCQldv6+M7LlJO0GSqkfrBnP8dHM0WjWj30ryUlY12hV0GyWUiIU12WjDgX9+bb7&#10;9ECJ80yVTGolCnoWjj5uPn5Yd2Ylcl1rWQpLgES5VWcKWntvVknieC1a5mbaCAXBStuWeXDtISkt&#10;64C9lUmepsuk07Y0VnPhHHzdDkG6CfxVJbj/UVVOeCILCrn58Lbhvcd3slmz1cEyUzd8TIP9QxYt&#10;axRsOlFtmWfkaJs/qNqGW+105Wdct4muqoaLUANUk6W/VfNaMyNCLSCOM5NM7v/R8u+nF0uasqBz&#10;ShRr4Yh2KDbJUZrOuBUgXs2LHT0HJtbZV7bFFSogfZDzPMkpek84fFxmiyxfgOocYouHLJ3nQfDk&#10;8js/Ov9V6EDFTs/OD+dRghXULMecKmCpWglHc2KSxGObotl1NM+WadznEJlYHcl5r0Z2sAjDPp3z&#10;chFOz2iH1dScEkjZowSQLOAwmQmeXmNtgJ74Hez7zPu76PyaW77DPeQzVmChv7GzAQid7SmBzoaE&#10;oLPDDmxlmMfCMX00SVfQQR5SRwtjrT6JNx1QHgVAuUEAWAYFLnGpbnAg/DUuRuNqBrYRlY1sMRrX&#10;ETXu+XeomFnk4FI7MSSLhYZzm4pHza4azWnZlLtGSizY2cP+SVoCfQWtD8/UOzcwqVC7LP8M4fDb&#10;XY40PGOpNxzGOr9lrh72CqFJEUgYL9twvdDy/b4P9zLogV/2ujzDXe1gWBVUwTSlRH5TMAtAOB8N&#10;G419NJjitYa+4B46Y3CePPjwF4wg0OhZvRqOPtal9Jej11WDFzFkNOw6OjCEgrLjwMQpd+0H1GWs&#10;b34BAAD//wMAUEsDBBQABgAIAAAAIQBcTLKs3gAAAAgBAAAPAAAAZHJzL2Rvd25yZXYueG1sTI/B&#10;TsMwEETvSPyDtUjcWgda0jTEqRBQCaknAurZjbd21Hgd2W4a+HrMCU6j1Yxm3labyfZsRB86RwLu&#10;5hkwpNapjrSAz4/trAAWoiQle0co4AsDbOrrq0qWyl3oHccmapZKKJRSgIlxKDkPrUErw9wNSMk7&#10;Om9lTKfXXHl5SeW25/dZlnMrO0oLRg74bLA9NWcroAjfW/Oi/dt40rh8bVpd7HdaiNub6ekRWMQp&#10;/oXhFz+hQ52YDu5MKrBewGyVgkkWa2DJXuf5EthBwOphkQOvK/7/gfoHAAD//wMAUEsBAi0AFAAG&#10;AAgAAAAhALaDOJL+AAAA4QEAABMAAAAAAAAAAAAAAAAAAAAAAFtDb250ZW50X1R5cGVzXS54bWxQ&#10;SwECLQAUAAYACAAAACEAOP0h/9YAAACUAQAACwAAAAAAAAAAAAAAAAAvAQAAX3JlbHMvLnJlbHNQ&#10;SwECLQAUAAYACAAAACEAickrG5UCAAAeBgAADgAAAAAAAAAAAAAAAAAuAgAAZHJzL2Uyb0RvYy54&#10;bWxQSwECLQAUAAYACAAAACEAXEyyrN4AAAAIAQAADwAAAAAAAAAAAAAAAADvBAAAZHJzL2Rvd25y&#10;ZXYueG1sUEsFBgAAAAAEAAQA8wAAAPoFAAAAAA==&#10;" adj="-11796480,,5400" path="m,l21600,r,21600l,21600,,xe" fillcolor="yellow" strokeweight="1pt">
                <v:stroke joinstyle="miter"/>
                <v:formulas/>
                <v:path arrowok="t" o:connecttype="custom" o:connectlocs="3070620,0;6141240,2405160;3070620,4810320;0,2405160" o:connectangles="270,0,90,180" textboxrect="0,0,21600,21600"/>
                <v:textbox inset="0,0,0,0">
                  <w:txbxContent>
                    <w:p w:rsidR="00E66A7F" w:rsidRDefault="00870EB0">
                      <w:pPr>
                        <w:pStyle w:val="Standard"/>
                        <w:spacing w:line="360" w:lineRule="auto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Nota explicativa 2</w:t>
                      </w:r>
                    </w:p>
                    <w:p w:rsidR="00E66A7F" w:rsidRDefault="00870EB0">
                      <w:pPr>
                        <w:pStyle w:val="Standard"/>
                        <w:spacing w:line="360" w:lineRule="auto"/>
                        <w:jc w:val="both"/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(Obs. As notas explicativas são meramente orientativas. Portanto,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deverão ser excluídas da lista de verificação antes da impressão do documento)</w:t>
                      </w:r>
                    </w:p>
                    <w:p w:rsidR="00E66A7F" w:rsidRDefault="00870EB0">
                      <w:pPr>
                        <w:pStyle w:val="Standard"/>
                        <w:spacing w:line="360" w:lineRule="auto"/>
                        <w:jc w:val="both"/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Deverá ser observado o disposto no art. 73, VI, “a” da Lei nº 9.504/1997, sendo vedada a doação no período de 3 (três) meses que antecedem a realização das eleições, até a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finalização do pleito eleitoral, para entes que não integrem a estrutura da Administração Pública do Estado do Paraná, conforme entendimento contido no Parecer nº 02/2024 – PGE.</w:t>
                      </w:r>
                    </w:p>
                    <w:p w:rsidR="00E66A7F" w:rsidRDefault="00E66A7F">
                      <w:pPr>
                        <w:pStyle w:val="Standard"/>
                        <w:spacing w:line="360" w:lineRule="auto"/>
                        <w:jc w:val="both"/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E66A7F" w:rsidRDefault="00870EB0">
                      <w:pPr>
                        <w:pStyle w:val="Standard"/>
                        <w:spacing w:line="360" w:lineRule="auto"/>
                        <w:jc w:val="both"/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Além disso, recomenda-se observar as medidas de cautela citadas no referido p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arecer:</w:t>
                      </w:r>
                    </w:p>
                    <w:p w:rsidR="00E66A7F" w:rsidRDefault="00E66A7F">
                      <w:pPr>
                        <w:pStyle w:val="Standard"/>
                        <w:spacing w:line="360" w:lineRule="auto"/>
                        <w:jc w:val="both"/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E66A7F" w:rsidRDefault="00870EB0">
                      <w:pPr>
                        <w:pStyle w:val="Standard"/>
                        <w:spacing w:line="360" w:lineRule="auto"/>
                        <w:jc w:val="both"/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a)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Não pode o Ente da Federação recebedor do bem figurar como mero intermediário, transferindo o bem à população diretamente beneficiada. Por outro lado, isso não obsta a transferência do bem ao Ente da Federação para a prática de atos preparatóri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os que antecederão a efetiva destinação aos beneficiários finais, que só poderá ocorrer fora do período vedado;</w:t>
                      </w:r>
                    </w:p>
                    <w:p w:rsidR="00E66A7F" w:rsidRDefault="00E66A7F">
                      <w:pPr>
                        <w:pStyle w:val="Standard"/>
                        <w:spacing w:line="360" w:lineRule="auto"/>
                        <w:jc w:val="both"/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E66A7F" w:rsidRDefault="00870EB0">
                      <w:pPr>
                        <w:pStyle w:val="Standard"/>
                        <w:spacing w:line="360" w:lineRule="auto"/>
                        <w:jc w:val="both"/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b)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O gestor deverá observar o princípio básico de vedação de condutas dos agentes públicos, de forma a não afetar a igualdade de oportunidades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entre candidatos nos pleitos eleitorais, sugerindo-se que a divulgação do ato seja a mínima necessária ao atendimento do princípio da publicidade formal prevista em Lei, não sendo recomendada a realização de qualquer solenidade, tais como celebração de cer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imônias simbólicas, atos públicos, eventos, reunião de pessoas para fins de divulgação, enfim, qualquer forma de exaltação do ato administrativo, sob pena de responsabilização do agente público que assim proceder.</w:t>
                      </w:r>
                    </w:p>
                  </w:txbxContent>
                </v:textbox>
              </v:shape>
            </w:pict>
          </mc:Fallback>
        </mc:AlternateContent>
      </w:r>
    </w:p>
    <w:p w:rsidR="00E66A7F" w:rsidRDefault="00E66A7F">
      <w:pPr>
        <w:pStyle w:val="Standard"/>
        <w:tabs>
          <w:tab w:val="left" w:pos="2865"/>
        </w:tabs>
        <w:spacing w:line="360" w:lineRule="auto"/>
        <w:jc w:val="center"/>
        <w:rPr>
          <w:rFonts w:ascii="Arial" w:hAnsi="Arial"/>
          <w:b/>
          <w:bCs/>
          <w:color w:val="000000"/>
          <w:sz w:val="22"/>
          <w:szCs w:val="22"/>
          <w:shd w:val="clear" w:color="auto" w:fill="FFFF00"/>
        </w:rPr>
      </w:pPr>
    </w:p>
    <w:p w:rsidR="00E66A7F" w:rsidRDefault="00E66A7F">
      <w:pPr>
        <w:pStyle w:val="Standard"/>
        <w:tabs>
          <w:tab w:val="left" w:pos="2865"/>
        </w:tabs>
        <w:spacing w:line="360" w:lineRule="auto"/>
        <w:jc w:val="center"/>
        <w:rPr>
          <w:rFonts w:ascii="Arial" w:hAnsi="Arial"/>
          <w:b/>
          <w:bCs/>
          <w:color w:val="000000"/>
          <w:sz w:val="22"/>
          <w:szCs w:val="22"/>
          <w:shd w:val="clear" w:color="auto" w:fill="FFFF00"/>
        </w:rPr>
      </w:pPr>
    </w:p>
    <w:p w:rsidR="00E66A7F" w:rsidRDefault="00E66A7F">
      <w:pPr>
        <w:pStyle w:val="Standard"/>
        <w:tabs>
          <w:tab w:val="left" w:pos="2865"/>
        </w:tabs>
        <w:spacing w:line="360" w:lineRule="auto"/>
        <w:jc w:val="center"/>
        <w:rPr>
          <w:rFonts w:ascii="Arial" w:hAnsi="Arial"/>
          <w:b/>
          <w:bCs/>
          <w:color w:val="000000"/>
          <w:sz w:val="22"/>
          <w:szCs w:val="22"/>
          <w:shd w:val="clear" w:color="auto" w:fill="FFFF00"/>
        </w:rPr>
      </w:pPr>
    </w:p>
    <w:p w:rsidR="00E66A7F" w:rsidRDefault="00E66A7F">
      <w:pPr>
        <w:pStyle w:val="Standard"/>
        <w:tabs>
          <w:tab w:val="left" w:pos="2865"/>
        </w:tabs>
        <w:spacing w:line="360" w:lineRule="auto"/>
        <w:jc w:val="center"/>
        <w:rPr>
          <w:rFonts w:ascii="Arial" w:hAnsi="Arial"/>
          <w:b/>
          <w:bCs/>
          <w:color w:val="000000"/>
          <w:sz w:val="22"/>
          <w:szCs w:val="22"/>
          <w:shd w:val="clear" w:color="auto" w:fill="FFFF00"/>
        </w:rPr>
      </w:pPr>
    </w:p>
    <w:p w:rsidR="00E66A7F" w:rsidRDefault="00E66A7F">
      <w:pPr>
        <w:pStyle w:val="Standard"/>
        <w:tabs>
          <w:tab w:val="left" w:pos="2865"/>
        </w:tabs>
        <w:spacing w:line="360" w:lineRule="auto"/>
        <w:jc w:val="center"/>
        <w:rPr>
          <w:rFonts w:ascii="Arial" w:hAnsi="Arial"/>
          <w:b/>
          <w:bCs/>
          <w:color w:val="000000"/>
          <w:sz w:val="22"/>
          <w:szCs w:val="22"/>
          <w:shd w:val="clear" w:color="auto" w:fill="FFFF00"/>
        </w:rPr>
      </w:pPr>
    </w:p>
    <w:p w:rsidR="00E66A7F" w:rsidRDefault="00E66A7F">
      <w:pPr>
        <w:pStyle w:val="Standard"/>
        <w:tabs>
          <w:tab w:val="left" w:pos="2865"/>
        </w:tabs>
        <w:spacing w:line="360" w:lineRule="auto"/>
        <w:jc w:val="center"/>
        <w:rPr>
          <w:rFonts w:ascii="Arial" w:hAnsi="Arial"/>
          <w:b/>
          <w:bCs/>
          <w:color w:val="000000"/>
          <w:sz w:val="22"/>
          <w:szCs w:val="22"/>
          <w:shd w:val="clear" w:color="auto" w:fill="FFFF00"/>
        </w:rPr>
      </w:pPr>
    </w:p>
    <w:p w:rsidR="00E66A7F" w:rsidRDefault="00E66A7F">
      <w:pPr>
        <w:pStyle w:val="Standard"/>
        <w:tabs>
          <w:tab w:val="left" w:pos="2865"/>
        </w:tabs>
        <w:spacing w:line="360" w:lineRule="auto"/>
        <w:jc w:val="center"/>
        <w:rPr>
          <w:rFonts w:ascii="Arial" w:hAnsi="Arial"/>
          <w:b/>
          <w:bCs/>
          <w:color w:val="000000"/>
          <w:sz w:val="22"/>
          <w:szCs w:val="22"/>
          <w:shd w:val="clear" w:color="auto" w:fill="FFFF00"/>
        </w:rPr>
      </w:pPr>
    </w:p>
    <w:p w:rsidR="00E66A7F" w:rsidRDefault="00E66A7F">
      <w:pPr>
        <w:pStyle w:val="Standard"/>
        <w:tabs>
          <w:tab w:val="left" w:pos="2865"/>
        </w:tabs>
        <w:spacing w:line="360" w:lineRule="auto"/>
        <w:jc w:val="center"/>
        <w:rPr>
          <w:rFonts w:ascii="Arial" w:hAnsi="Arial"/>
          <w:b/>
          <w:bCs/>
          <w:color w:val="000000"/>
          <w:sz w:val="22"/>
          <w:szCs w:val="22"/>
          <w:shd w:val="clear" w:color="auto" w:fill="FFFF00"/>
        </w:rPr>
      </w:pPr>
    </w:p>
    <w:p w:rsidR="00E66A7F" w:rsidRDefault="00E66A7F">
      <w:pPr>
        <w:pStyle w:val="Standard"/>
        <w:tabs>
          <w:tab w:val="left" w:pos="2865"/>
        </w:tabs>
        <w:spacing w:line="360" w:lineRule="auto"/>
        <w:jc w:val="center"/>
        <w:rPr>
          <w:rFonts w:ascii="Arial" w:hAnsi="Arial"/>
          <w:b/>
          <w:bCs/>
          <w:color w:val="000000"/>
          <w:sz w:val="22"/>
          <w:szCs w:val="22"/>
          <w:shd w:val="clear" w:color="auto" w:fill="FFFF00"/>
        </w:rPr>
      </w:pPr>
    </w:p>
    <w:p w:rsidR="00E66A7F" w:rsidRDefault="00E66A7F">
      <w:pPr>
        <w:pStyle w:val="Standard"/>
        <w:tabs>
          <w:tab w:val="left" w:pos="2865"/>
        </w:tabs>
        <w:spacing w:line="360" w:lineRule="auto"/>
        <w:jc w:val="center"/>
        <w:rPr>
          <w:rFonts w:ascii="Arial" w:hAnsi="Arial"/>
          <w:b/>
          <w:bCs/>
          <w:color w:val="000000"/>
          <w:sz w:val="22"/>
          <w:szCs w:val="22"/>
          <w:shd w:val="clear" w:color="auto" w:fill="FFFF00"/>
        </w:rPr>
      </w:pPr>
    </w:p>
    <w:p w:rsidR="00E66A7F" w:rsidRDefault="00E66A7F">
      <w:pPr>
        <w:pStyle w:val="Standard"/>
        <w:tabs>
          <w:tab w:val="left" w:pos="2865"/>
        </w:tabs>
        <w:spacing w:line="360" w:lineRule="auto"/>
        <w:jc w:val="center"/>
        <w:rPr>
          <w:rFonts w:ascii="Arial" w:hAnsi="Arial"/>
          <w:b/>
          <w:bCs/>
          <w:color w:val="000000"/>
          <w:sz w:val="22"/>
          <w:szCs w:val="22"/>
          <w:shd w:val="clear" w:color="auto" w:fill="FFFF00"/>
        </w:rPr>
      </w:pPr>
    </w:p>
    <w:p w:rsidR="00E66A7F" w:rsidRDefault="00E66A7F">
      <w:pPr>
        <w:pStyle w:val="Standard"/>
        <w:tabs>
          <w:tab w:val="left" w:pos="2865"/>
        </w:tabs>
        <w:spacing w:line="360" w:lineRule="auto"/>
        <w:jc w:val="center"/>
        <w:rPr>
          <w:rFonts w:ascii="Arial" w:hAnsi="Arial"/>
          <w:b/>
          <w:bCs/>
          <w:color w:val="000000"/>
          <w:sz w:val="22"/>
          <w:szCs w:val="22"/>
          <w:shd w:val="clear" w:color="auto" w:fill="FFFF00"/>
        </w:rPr>
      </w:pPr>
    </w:p>
    <w:p w:rsidR="00E66A7F" w:rsidRDefault="00E66A7F">
      <w:pPr>
        <w:pStyle w:val="Standard"/>
        <w:tabs>
          <w:tab w:val="left" w:pos="2865"/>
        </w:tabs>
        <w:spacing w:line="360" w:lineRule="auto"/>
        <w:jc w:val="center"/>
        <w:rPr>
          <w:rFonts w:ascii="Arial" w:hAnsi="Arial"/>
          <w:b/>
          <w:bCs/>
          <w:color w:val="000000"/>
          <w:sz w:val="22"/>
          <w:szCs w:val="22"/>
          <w:shd w:val="clear" w:color="auto" w:fill="FFFF00"/>
        </w:rPr>
      </w:pPr>
    </w:p>
    <w:p w:rsidR="00E66A7F" w:rsidRDefault="00E66A7F">
      <w:pPr>
        <w:pStyle w:val="Standard"/>
        <w:tabs>
          <w:tab w:val="left" w:pos="2865"/>
        </w:tabs>
        <w:spacing w:line="360" w:lineRule="auto"/>
        <w:jc w:val="center"/>
        <w:rPr>
          <w:rFonts w:ascii="Arial" w:hAnsi="Arial"/>
          <w:b/>
          <w:bCs/>
          <w:color w:val="000000"/>
          <w:sz w:val="22"/>
          <w:szCs w:val="22"/>
          <w:shd w:val="clear" w:color="auto" w:fill="FFFF00"/>
        </w:rPr>
      </w:pPr>
    </w:p>
    <w:p w:rsidR="00E66A7F" w:rsidRDefault="00E66A7F">
      <w:pPr>
        <w:pStyle w:val="Standard"/>
        <w:tabs>
          <w:tab w:val="left" w:pos="2865"/>
        </w:tabs>
        <w:spacing w:line="360" w:lineRule="auto"/>
        <w:jc w:val="center"/>
        <w:rPr>
          <w:rFonts w:ascii="Arial" w:hAnsi="Arial"/>
          <w:b/>
          <w:bCs/>
          <w:color w:val="000000"/>
          <w:sz w:val="22"/>
          <w:szCs w:val="22"/>
          <w:shd w:val="clear" w:color="auto" w:fill="FFFF00"/>
        </w:rPr>
      </w:pPr>
    </w:p>
    <w:p w:rsidR="00E66A7F" w:rsidRDefault="00E66A7F">
      <w:pPr>
        <w:pStyle w:val="Standard"/>
        <w:tabs>
          <w:tab w:val="left" w:pos="2865"/>
        </w:tabs>
        <w:spacing w:line="360" w:lineRule="auto"/>
        <w:jc w:val="center"/>
        <w:rPr>
          <w:rFonts w:ascii="Arial" w:hAnsi="Arial"/>
          <w:b/>
          <w:bCs/>
          <w:color w:val="000000"/>
          <w:sz w:val="22"/>
          <w:szCs w:val="22"/>
          <w:shd w:val="clear" w:color="auto" w:fill="FFFF00"/>
        </w:rPr>
      </w:pPr>
    </w:p>
    <w:p w:rsidR="00E66A7F" w:rsidRDefault="00E66A7F">
      <w:pPr>
        <w:pStyle w:val="Standard"/>
        <w:tabs>
          <w:tab w:val="left" w:pos="2865"/>
        </w:tabs>
        <w:spacing w:line="360" w:lineRule="auto"/>
        <w:jc w:val="center"/>
        <w:rPr>
          <w:rFonts w:ascii="Arial" w:hAnsi="Arial"/>
          <w:b/>
          <w:bCs/>
          <w:color w:val="000000"/>
          <w:sz w:val="22"/>
          <w:szCs w:val="22"/>
          <w:shd w:val="clear" w:color="auto" w:fill="FFFF00"/>
        </w:rPr>
      </w:pPr>
    </w:p>
    <w:p w:rsidR="00E66A7F" w:rsidRDefault="00E66A7F">
      <w:pPr>
        <w:pStyle w:val="Standard"/>
        <w:tabs>
          <w:tab w:val="left" w:pos="2865"/>
        </w:tabs>
        <w:spacing w:line="360" w:lineRule="auto"/>
        <w:jc w:val="center"/>
        <w:rPr>
          <w:rFonts w:ascii="Arial" w:hAnsi="Arial"/>
          <w:b/>
          <w:bCs/>
          <w:color w:val="000000"/>
          <w:sz w:val="22"/>
          <w:szCs w:val="22"/>
          <w:shd w:val="clear" w:color="auto" w:fill="FFFF00"/>
        </w:rPr>
      </w:pPr>
    </w:p>
    <w:p w:rsidR="00E66A7F" w:rsidRDefault="00E66A7F">
      <w:pPr>
        <w:pStyle w:val="Standard"/>
        <w:tabs>
          <w:tab w:val="left" w:pos="2865"/>
        </w:tabs>
        <w:spacing w:line="360" w:lineRule="auto"/>
        <w:jc w:val="center"/>
        <w:rPr>
          <w:rFonts w:ascii="Arial" w:hAnsi="Arial"/>
          <w:b/>
          <w:bCs/>
          <w:color w:val="000000"/>
          <w:sz w:val="22"/>
          <w:szCs w:val="22"/>
          <w:shd w:val="clear" w:color="auto" w:fill="FFFF00"/>
        </w:rPr>
      </w:pPr>
    </w:p>
    <w:p w:rsidR="00E66A7F" w:rsidRDefault="00E66A7F">
      <w:pPr>
        <w:pStyle w:val="Standard"/>
        <w:tabs>
          <w:tab w:val="left" w:pos="2865"/>
        </w:tabs>
        <w:spacing w:line="360" w:lineRule="auto"/>
        <w:jc w:val="center"/>
        <w:rPr>
          <w:rFonts w:ascii="Arial" w:hAnsi="Arial"/>
          <w:b/>
          <w:bCs/>
          <w:color w:val="000000"/>
          <w:sz w:val="22"/>
          <w:szCs w:val="22"/>
          <w:shd w:val="clear" w:color="auto" w:fill="FFFF00"/>
        </w:rPr>
      </w:pPr>
    </w:p>
    <w:p w:rsidR="00E66A7F" w:rsidRDefault="00E66A7F">
      <w:pPr>
        <w:pStyle w:val="Standard"/>
        <w:tabs>
          <w:tab w:val="left" w:pos="2865"/>
        </w:tabs>
        <w:spacing w:line="360" w:lineRule="auto"/>
        <w:jc w:val="center"/>
        <w:rPr>
          <w:rFonts w:ascii="Arial" w:hAnsi="Arial"/>
          <w:b/>
          <w:bCs/>
          <w:color w:val="000000"/>
          <w:sz w:val="22"/>
          <w:szCs w:val="22"/>
          <w:shd w:val="clear" w:color="auto" w:fill="FFFF00"/>
        </w:rPr>
      </w:pPr>
    </w:p>
    <w:p w:rsidR="00E66A7F" w:rsidRDefault="00E66A7F">
      <w:pPr>
        <w:pStyle w:val="Standard"/>
        <w:tabs>
          <w:tab w:val="left" w:pos="2865"/>
        </w:tabs>
        <w:spacing w:line="360" w:lineRule="auto"/>
        <w:jc w:val="center"/>
        <w:rPr>
          <w:rFonts w:ascii="Arial" w:hAnsi="Arial"/>
          <w:b/>
          <w:bCs/>
          <w:color w:val="000000"/>
          <w:sz w:val="22"/>
          <w:szCs w:val="22"/>
          <w:shd w:val="clear" w:color="auto" w:fill="FFFF00"/>
        </w:rPr>
      </w:pPr>
    </w:p>
    <w:p w:rsidR="00E66A7F" w:rsidRDefault="00870EB0">
      <w:pPr>
        <w:pStyle w:val="Standard"/>
        <w:tabs>
          <w:tab w:val="left" w:pos="2865"/>
        </w:tabs>
        <w:spacing w:line="360" w:lineRule="auto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  <w:shd w:val="clear" w:color="auto" w:fill="FFFF00"/>
        </w:rPr>
        <w:t>(Localidade)</w:t>
      </w:r>
      <w:r>
        <w:rPr>
          <w:rFonts w:ascii="Arial" w:hAnsi="Arial"/>
          <w:bCs/>
          <w:color w:val="000000"/>
          <w:sz w:val="22"/>
          <w:szCs w:val="22"/>
        </w:rPr>
        <w:t xml:space="preserve">, </w:t>
      </w:r>
      <w:r>
        <w:rPr>
          <w:rFonts w:ascii="Arial" w:hAnsi="Arial"/>
          <w:b/>
          <w:bCs/>
          <w:color w:val="000000"/>
          <w:sz w:val="22"/>
          <w:szCs w:val="22"/>
          <w:shd w:val="clear" w:color="auto" w:fill="FFFF00"/>
        </w:rPr>
        <w:t>XX</w:t>
      </w:r>
      <w:r>
        <w:rPr>
          <w:rFonts w:ascii="Arial" w:hAnsi="Arial"/>
          <w:bCs/>
          <w:color w:val="000000"/>
          <w:sz w:val="22"/>
          <w:szCs w:val="22"/>
        </w:rPr>
        <w:t xml:space="preserve"> de </w:t>
      </w:r>
      <w:r>
        <w:rPr>
          <w:rFonts w:ascii="Arial" w:hAnsi="Arial"/>
          <w:b/>
          <w:bCs/>
          <w:color w:val="000000"/>
          <w:sz w:val="22"/>
          <w:szCs w:val="22"/>
          <w:shd w:val="clear" w:color="auto" w:fill="FFFF00"/>
        </w:rPr>
        <w:t>XXXXX</w:t>
      </w:r>
      <w:r>
        <w:rPr>
          <w:rFonts w:ascii="Arial" w:hAnsi="Arial"/>
          <w:bCs/>
          <w:color w:val="000000"/>
          <w:sz w:val="22"/>
          <w:szCs w:val="22"/>
        </w:rPr>
        <w:t xml:space="preserve"> de 20</w:t>
      </w:r>
      <w:r>
        <w:rPr>
          <w:rFonts w:ascii="Arial" w:hAnsi="Arial"/>
          <w:b/>
          <w:bCs/>
          <w:color w:val="000000"/>
          <w:sz w:val="22"/>
          <w:szCs w:val="22"/>
          <w:shd w:val="clear" w:color="auto" w:fill="FFFF00"/>
        </w:rPr>
        <w:t>XX</w:t>
      </w:r>
      <w:r>
        <w:rPr>
          <w:rFonts w:ascii="Arial" w:hAnsi="Arial"/>
          <w:bCs/>
          <w:color w:val="000000"/>
          <w:sz w:val="22"/>
          <w:szCs w:val="22"/>
        </w:rPr>
        <w:t>.</w:t>
      </w:r>
    </w:p>
    <w:p w:rsidR="00E66A7F" w:rsidRDefault="00870EB0">
      <w:pPr>
        <w:pStyle w:val="Standard"/>
        <w:tabs>
          <w:tab w:val="left" w:pos="2865"/>
        </w:tabs>
        <w:spacing w:line="360" w:lineRule="auto"/>
        <w:jc w:val="center"/>
        <w:rPr>
          <w:rFonts w:ascii="ArialMT" w:hAnsi="ArialMT" w:hint="eastAsia"/>
          <w:bCs/>
          <w:color w:val="000000"/>
          <w:sz w:val="22"/>
          <w:szCs w:val="22"/>
        </w:rPr>
      </w:pPr>
      <w:r>
        <w:rPr>
          <w:rFonts w:ascii="ArialMT" w:hAnsi="ArialMT"/>
          <w:bCs/>
          <w:color w:val="000000"/>
          <w:sz w:val="22"/>
          <w:szCs w:val="22"/>
        </w:rPr>
        <w:t xml:space="preserve"> </w:t>
      </w:r>
    </w:p>
    <w:p w:rsidR="00E66A7F" w:rsidRDefault="00870EB0">
      <w:pPr>
        <w:pStyle w:val="Standard"/>
        <w:tabs>
          <w:tab w:val="left" w:pos="2865"/>
        </w:tabs>
        <w:spacing w:line="360" w:lineRule="auto"/>
        <w:jc w:val="both"/>
        <w:rPr>
          <w:rFonts w:ascii="ArialMT" w:hAnsi="ArialMT" w:hint="eastAsia"/>
          <w:bCs/>
          <w:color w:val="000000"/>
          <w:sz w:val="22"/>
          <w:szCs w:val="22"/>
        </w:rPr>
      </w:pPr>
      <w:r>
        <w:rPr>
          <w:rFonts w:ascii="ArialMT" w:hAnsi="ArialMT"/>
          <w:bCs/>
          <w:color w:val="000000"/>
          <w:sz w:val="22"/>
          <w:szCs w:val="22"/>
        </w:rPr>
        <w:lastRenderedPageBreak/>
        <w:t>_</w:t>
      </w:r>
    </w:p>
    <w:p w:rsidR="00000000" w:rsidRDefault="00870EB0">
      <w:pPr>
        <w:rPr>
          <w:rFonts w:cs="Mangal"/>
          <w:szCs w:val="21"/>
        </w:rPr>
        <w:sectPr w:rsidR="00000000">
          <w:headerReference w:type="default" r:id="rId6"/>
          <w:pgSz w:w="11906" w:h="16838"/>
          <w:pgMar w:top="1134" w:right="1134" w:bottom="1134" w:left="1134" w:header="720" w:footer="720" w:gutter="0"/>
          <w:pgNumType w:start="1"/>
          <w:cols w:space="720"/>
        </w:sectPr>
      </w:pPr>
    </w:p>
    <w:p w:rsidR="00E66A7F" w:rsidRDefault="00870EB0">
      <w:pPr>
        <w:pStyle w:val="Standard"/>
        <w:tabs>
          <w:tab w:val="left" w:pos="2865"/>
        </w:tabs>
        <w:spacing w:before="57" w:after="57"/>
        <w:jc w:val="both"/>
        <w:rPr>
          <w:rFonts w:ascii="ArialMT" w:hAnsi="ArialMT" w:hint="eastAsia"/>
          <w:bCs/>
          <w:color w:val="000000"/>
          <w:sz w:val="22"/>
          <w:szCs w:val="22"/>
        </w:rPr>
      </w:pPr>
      <w:r>
        <w:rPr>
          <w:rFonts w:ascii="ArialMT" w:hAnsi="ArialMT"/>
          <w:bCs/>
          <w:color w:val="000000"/>
          <w:sz w:val="22"/>
          <w:szCs w:val="22"/>
        </w:rPr>
        <w:t>________________________________</w:t>
      </w:r>
    </w:p>
    <w:p w:rsidR="00E66A7F" w:rsidRDefault="00870EB0">
      <w:pPr>
        <w:pStyle w:val="Standard"/>
        <w:tabs>
          <w:tab w:val="left" w:pos="2865"/>
        </w:tabs>
        <w:spacing w:before="57" w:after="57"/>
        <w:jc w:val="both"/>
        <w:rPr>
          <w:b/>
          <w:bCs/>
          <w:shd w:val="clear" w:color="auto" w:fill="FFFF00"/>
        </w:rPr>
      </w:pPr>
      <w:r>
        <w:rPr>
          <w:rFonts w:ascii="ArialMT" w:hAnsi="ArialMT"/>
          <w:b/>
          <w:bCs/>
          <w:color w:val="000000"/>
          <w:sz w:val="22"/>
          <w:szCs w:val="22"/>
          <w:shd w:val="clear" w:color="auto" w:fill="FFFF00"/>
        </w:rPr>
        <w:t>(Nome e assinatura do servidor responsável pelo preenchimento)</w:t>
      </w:r>
    </w:p>
    <w:p w:rsidR="00E66A7F" w:rsidRDefault="00E66A7F">
      <w:pPr>
        <w:pStyle w:val="Standard"/>
        <w:tabs>
          <w:tab w:val="left" w:pos="2865"/>
        </w:tabs>
        <w:spacing w:line="360" w:lineRule="auto"/>
        <w:jc w:val="both"/>
        <w:rPr>
          <w:rFonts w:ascii="ArialMT" w:hAnsi="ArialMT" w:hint="eastAsia"/>
          <w:bCs/>
          <w:color w:val="000000"/>
          <w:sz w:val="22"/>
          <w:szCs w:val="22"/>
        </w:rPr>
      </w:pPr>
    </w:p>
    <w:p w:rsidR="00E66A7F" w:rsidRDefault="00870EB0">
      <w:pPr>
        <w:pStyle w:val="Standard"/>
        <w:tabs>
          <w:tab w:val="left" w:pos="2865"/>
        </w:tabs>
        <w:spacing w:line="360" w:lineRule="auto"/>
        <w:jc w:val="both"/>
        <w:rPr>
          <w:rFonts w:ascii="ArialMT" w:hAnsi="ArialMT" w:hint="eastAsia"/>
          <w:bCs/>
          <w:color w:val="000000"/>
          <w:sz w:val="22"/>
          <w:szCs w:val="22"/>
        </w:rPr>
      </w:pPr>
      <w:r>
        <w:rPr>
          <w:rFonts w:ascii="ArialMT" w:hAnsi="ArialMT"/>
          <w:bCs/>
          <w:color w:val="000000"/>
          <w:sz w:val="22"/>
          <w:szCs w:val="22"/>
        </w:rPr>
        <w:t>______________________________</w:t>
      </w:r>
    </w:p>
    <w:p w:rsidR="00E66A7F" w:rsidRDefault="00870EB0">
      <w:pPr>
        <w:pStyle w:val="Standard"/>
        <w:tabs>
          <w:tab w:val="left" w:pos="2865"/>
        </w:tabs>
        <w:jc w:val="both"/>
        <w:rPr>
          <w:b/>
          <w:bCs/>
          <w:shd w:val="clear" w:color="auto" w:fill="FFFF00"/>
        </w:rPr>
      </w:pPr>
      <w:r>
        <w:rPr>
          <w:rFonts w:ascii="ArialMT" w:hAnsi="ArialMT"/>
          <w:b/>
          <w:bCs/>
          <w:color w:val="000000"/>
          <w:sz w:val="22"/>
          <w:szCs w:val="22"/>
          <w:shd w:val="clear" w:color="auto" w:fill="FFFF00"/>
        </w:rPr>
        <w:t>(Nome e assinatura do chefe do setor competente)</w:t>
      </w:r>
    </w:p>
    <w:sectPr w:rsidR="00E66A7F">
      <w:type w:val="continuous"/>
      <w:pgSz w:w="11906" w:h="16838"/>
      <w:pgMar w:top="1134" w:right="1134" w:bottom="1134" w:left="1134" w:header="720" w:footer="720" w:gutter="0"/>
      <w:pgNumType w:start="1"/>
      <w:cols w:num="2" w:space="720" w:equalWidth="0">
        <w:col w:w="4678" w:space="282"/>
        <w:col w:w="467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EB0" w:rsidRDefault="00870EB0">
      <w:r>
        <w:separator/>
      </w:r>
    </w:p>
  </w:endnote>
  <w:endnote w:type="continuationSeparator" w:id="0">
    <w:p w:rsidR="00870EB0" w:rsidRDefault="0087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roman"/>
    <w:pitch w:val="variable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EB0" w:rsidRDefault="00870EB0">
      <w:r>
        <w:rPr>
          <w:color w:val="000000"/>
        </w:rPr>
        <w:separator/>
      </w:r>
    </w:p>
  </w:footnote>
  <w:footnote w:type="continuationSeparator" w:id="0">
    <w:p w:rsidR="00870EB0" w:rsidRDefault="00870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EA0" w:rsidRDefault="00870EB0">
    <w:pPr>
      <w:pStyle w:val="LO-normal3"/>
      <w:spacing w:line="276" w:lineRule="auto"/>
      <w:rPr>
        <w:rFonts w:eastAsia="Times New Roman" w:cs="Times New Roman"/>
        <w:color w:val="000000"/>
      </w:rPr>
    </w:pPr>
  </w:p>
  <w:tbl>
    <w:tblPr>
      <w:tblW w:w="9645" w:type="dxa"/>
      <w:tblInd w:w="12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06"/>
      <w:gridCol w:w="8239"/>
    </w:tblGrid>
    <w:tr w:rsidR="00687EA0">
      <w:tblPrEx>
        <w:tblCellMar>
          <w:top w:w="0" w:type="dxa"/>
          <w:bottom w:w="0" w:type="dxa"/>
        </w:tblCellMar>
      </w:tblPrEx>
      <w:trPr>
        <w:cantSplit/>
      </w:trPr>
      <w:tc>
        <w:tcPr>
          <w:tcW w:w="1406" w:type="dxa"/>
          <w:tcMar>
            <w:top w:w="0" w:type="dxa"/>
            <w:left w:w="108" w:type="dxa"/>
            <w:bottom w:w="0" w:type="dxa"/>
            <w:right w:w="108" w:type="dxa"/>
          </w:tcMar>
        </w:tcPr>
        <w:p w:rsidR="00687EA0" w:rsidRDefault="00870EB0">
          <w:pPr>
            <w:pStyle w:val="LO-normal3"/>
            <w:spacing w:after="200"/>
            <w:rPr>
              <w:rFonts w:eastAsia="Times New Roman" w:cs="Times New Roman"/>
              <w:color w:val="000000"/>
            </w:rPr>
          </w:pPr>
          <w:r>
            <w:rPr>
              <w:rFonts w:eastAsia="Times New Roman" w:cs="Times New Roman"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71640</wp:posOffset>
                </wp:positionH>
                <wp:positionV relativeFrom="paragraph">
                  <wp:posOffset>39960</wp:posOffset>
                </wp:positionV>
                <wp:extent cx="491400" cy="611640"/>
                <wp:effectExtent l="0" t="0" r="3900" b="0"/>
                <wp:wrapSquare wrapText="bothSides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l="-901" t="-730" r="-901" b="-73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00" cy="61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3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87EA0" w:rsidRDefault="00870EB0">
          <w:pPr>
            <w:pStyle w:val="LO-normal3"/>
            <w:tabs>
              <w:tab w:val="left" w:pos="993"/>
            </w:tabs>
            <w:rPr>
              <w:rFonts w:ascii="Arial" w:eastAsia="Arial" w:hAnsi="Arial" w:cs="Arial"/>
              <w:b/>
              <w:color w:val="262626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262626"/>
              <w:sz w:val="22"/>
              <w:szCs w:val="22"/>
            </w:rPr>
            <w:t>ESTADO DO PARANÁ</w:t>
          </w:r>
        </w:p>
        <w:p w:rsidR="00687EA0" w:rsidRDefault="00870EB0">
          <w:pPr>
            <w:pStyle w:val="LO-normal3"/>
            <w:tabs>
              <w:tab w:val="left" w:pos="993"/>
            </w:tabs>
            <w:rPr>
              <w:rFonts w:ascii="Arial" w:eastAsia="Arial" w:hAnsi="Arial" w:cs="Arial"/>
              <w:b/>
              <w:color w:val="262626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262626"/>
              <w:sz w:val="22"/>
              <w:szCs w:val="22"/>
            </w:rPr>
            <w:t>(ÓRGÃO/ENTE PÚBLICO)</w:t>
          </w:r>
        </w:p>
        <w:p w:rsidR="00687EA0" w:rsidRDefault="00870EB0">
          <w:pPr>
            <w:pStyle w:val="LO-normal3"/>
            <w:tabs>
              <w:tab w:val="left" w:pos="993"/>
            </w:tabs>
            <w:rPr>
              <w:rFonts w:ascii="Arial" w:eastAsia="Arial" w:hAnsi="Arial" w:cs="Arial"/>
              <w:b/>
              <w:color w:val="262626"/>
              <w:sz w:val="22"/>
              <w:szCs w:val="22"/>
            </w:rPr>
          </w:pPr>
        </w:p>
        <w:p w:rsidR="00687EA0" w:rsidRDefault="00870EB0">
          <w:pPr>
            <w:pStyle w:val="LO-normal3"/>
            <w:tabs>
              <w:tab w:val="left" w:pos="993"/>
            </w:tabs>
            <w:rPr>
              <w:rFonts w:ascii="Arial" w:eastAsia="Arial" w:hAnsi="Arial" w:cs="Arial"/>
              <w:color w:val="262626"/>
              <w:sz w:val="14"/>
              <w:szCs w:val="14"/>
            </w:rPr>
          </w:pPr>
        </w:p>
        <w:p w:rsidR="00687EA0" w:rsidRDefault="00870EB0">
          <w:pPr>
            <w:pStyle w:val="LO-normal3"/>
            <w:pBdr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pBdr>
            <w:tabs>
              <w:tab w:val="left" w:pos="7287"/>
              <w:tab w:val="center" w:pos="10546"/>
              <w:tab w:val="right" w:pos="14798"/>
            </w:tabs>
            <w:ind w:left="2098"/>
            <w:jc w:val="both"/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>Protocolado n° [</w:t>
          </w:r>
          <w:r>
            <w:rPr>
              <w:rFonts w:ascii="Arial" w:eastAsia="Arial" w:hAnsi="Arial" w:cs="Arial"/>
              <w:color w:val="000000"/>
              <w:sz w:val="14"/>
              <w:szCs w:val="14"/>
              <w:shd w:val="clear" w:color="auto" w:fill="FFFF00"/>
            </w:rPr>
            <w:t>XXXXX]</w:t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14"/>
              <w:szCs w:val="14"/>
              <w:u w:val="single"/>
            </w:rPr>
            <w:t xml:space="preserve">(página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ascii="Arial" w:eastAsia="Arial" w:hAnsi="Arial" w:cs="Arial"/>
              <w:color w:val="000000"/>
              <w:sz w:val="14"/>
              <w:szCs w:val="14"/>
              <w:u w:val="single"/>
            </w:rPr>
            <w:t xml:space="preserve"> de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ascii="Arial" w:eastAsia="Arial" w:hAnsi="Arial" w:cs="Arial"/>
              <w:color w:val="000000"/>
              <w:sz w:val="14"/>
              <w:szCs w:val="14"/>
              <w:u w:val="single"/>
            </w:rPr>
            <w:t>)</w:t>
          </w:r>
        </w:p>
      </w:tc>
    </w:tr>
  </w:tbl>
  <w:p w:rsidR="00687EA0" w:rsidRDefault="00870EB0">
    <w:pPr>
      <w:pStyle w:val="LO-normal3"/>
      <w:widowControl/>
      <w:rPr>
        <w:rFonts w:eastAsia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66A7F"/>
    <w:rsid w:val="00870EB0"/>
    <w:rsid w:val="00E66A7F"/>
    <w:rsid w:val="00FC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54607-B2CD-4E52-BB6E-A72071B5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paragraph" w:customStyle="1" w:styleId="LO-normal">
    <w:name w:val="LO-normal"/>
    <w:pPr>
      <w:widowControl w:val="0"/>
    </w:pPr>
    <w:rPr>
      <w:rFonts w:eastAsia="Liberation Serif" w:cs="Liberation Serif"/>
      <w:kern w:val="0"/>
    </w:rPr>
  </w:style>
  <w:style w:type="paragraph" w:customStyle="1" w:styleId="Framecontents">
    <w:name w:val="Frame contents"/>
    <w:basedOn w:val="LO-normal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HeaderandFooter"/>
  </w:style>
  <w:style w:type="paragraph" w:customStyle="1" w:styleId="LO-normal3">
    <w:name w:val="LO-normal3"/>
    <w:pPr>
      <w:widowControl w:val="0"/>
    </w:pPr>
    <w:rPr>
      <w:rFonts w:ascii="Times New Roman" w:hAnsi="Times New Roman"/>
      <w:kern w:val="0"/>
      <w:sz w:val="20"/>
      <w:szCs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Procuradoria Geral do Estado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Jhonathan Lemos</dc:creator>
  <cp:lastModifiedBy>Jhonathan Lemos</cp:lastModifiedBy>
  <cp:revision>2</cp:revision>
  <dcterms:created xsi:type="dcterms:W3CDTF">2024-06-07T12:02:00Z</dcterms:created>
  <dcterms:modified xsi:type="dcterms:W3CDTF">2024-06-07T12:02:00Z</dcterms:modified>
</cp:coreProperties>
</file>