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5C" w:rsidRDefault="00913AA2">
      <w:pPr>
        <w:shd w:val="clear" w:color="auto" w:fill="000000"/>
        <w:tabs>
          <w:tab w:val="left" w:pos="28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FFFFFF"/>
          <w:sz w:val="24"/>
          <w:szCs w:val="24"/>
          <w:highlight w:val="black"/>
        </w:rPr>
        <w:t>LISTA DE VERIFICAÇÃO</w:t>
      </w:r>
    </w:p>
    <w:p w:rsidR="00F4145C" w:rsidRDefault="00913AA2">
      <w:pPr>
        <w:shd w:val="clear" w:color="auto" w:fill="000000"/>
        <w:tabs>
          <w:tab w:val="left" w:pos="284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  <w:highlight w:val="black"/>
        </w:rPr>
        <w:t>CONVÊNIO ENTRE SETI E</w:t>
      </w:r>
      <w:r>
        <w:rPr>
          <w:rFonts w:ascii="Arial" w:eastAsia="Arial" w:hAnsi="Arial" w:cs="Arial"/>
          <w:b/>
          <w:color w:val="FFFF00"/>
          <w:sz w:val="24"/>
          <w:szCs w:val="24"/>
          <w:highlight w:val="black"/>
        </w:rPr>
        <w:t xml:space="preserve"> XXXX </w:t>
      </w:r>
    </w:p>
    <w:p w:rsidR="00F4145C" w:rsidRDefault="00F4145C">
      <w:pPr>
        <w:spacing w:after="0" w:line="240" w:lineRule="auto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4212" w:type="dxa"/>
        <w:tblInd w:w="4348" w:type="dxa"/>
        <w:tblLayout w:type="fixed"/>
        <w:tblLook w:val="0000" w:firstRow="0" w:lastRow="0" w:firstColumn="0" w:lastColumn="0" w:noHBand="0" w:noVBand="0"/>
      </w:tblPr>
      <w:tblGrid>
        <w:gridCol w:w="4212"/>
      </w:tblGrid>
      <w:tr w:rsidR="00F4145C">
        <w:trPr>
          <w:trHeight w:val="172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5C" w:rsidRDefault="00913AA2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Protocolo n.º 00.000.000-0</w:t>
            </w:r>
          </w:p>
        </w:tc>
      </w:tr>
      <w:tr w:rsidR="00F4145C">
        <w:trPr>
          <w:trHeight w:val="12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45C" w:rsidRDefault="00913AA2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Convênio n.º XXXXXXX</w:t>
            </w:r>
          </w:p>
        </w:tc>
      </w:tr>
    </w:tbl>
    <w:p w:rsidR="00F4145C" w:rsidRDefault="00F4145C">
      <w:pPr>
        <w:spacing w:after="0" w:line="240" w:lineRule="auto"/>
        <w:rPr>
          <w:sz w:val="14"/>
          <w:szCs w:val="14"/>
        </w:rPr>
      </w:pPr>
    </w:p>
    <w:tbl>
      <w:tblPr>
        <w:tblStyle w:val="a0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0"/>
        <w:gridCol w:w="1135"/>
        <w:gridCol w:w="850"/>
      </w:tblGrid>
      <w:tr w:rsidR="00F4145C">
        <w:tc>
          <w:tcPr>
            <w:tcW w:w="8505" w:type="dxa"/>
            <w:gridSpan w:val="3"/>
            <w:shd w:val="clear" w:color="auto" w:fill="000000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REQUISITOS DA PROPOSTA E PLANO DE TRABALHO</w:t>
            </w: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 plano de trabalho foi aprovado pela autoridade competente da instituição proponente</w:t>
            </w:r>
          </w:p>
        </w:tc>
        <w:tc>
          <w:tcPr>
            <w:tcW w:w="1135" w:type="dxa"/>
            <w:vMerge w:val="restart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681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completa do objeto do convênio a ser formalizado e seus elementos característicos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ind w:left="276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Razões que justifiquem a celebração do convênio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Metas a serem atingidas, objetivamente especificadas, descritas quantitativa e qualitativamente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Etapas ou fases de execução com prazos de início e conclusão de cada etapa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Plano de aplicação dos recursos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Cronograma físico-financeiro e de desembolso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Comprovação de que a contrapartida possui previsão orçamentária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Previsão de receitas e de despesas a serem realizadas na execução das atividades ou dos projetos abrangidos pela parceria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 de execução das atividades ou dos projetos e de cumprimento das metas a eles atreladas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Definição dos parâmetros a serem utilizados para a aferição do cumprimento das metas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Elementos que demonstrem a compatibilidade dos custos com os preços praticados no mercado, devendo existir elementos indicativos da mensuração desses custos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Comprovação do exercício pleno dos poderes referentes à propriedade do imóvel, mediante certidão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emitida por cartório competente, sempre que o objeto do convênio seja a execução de obras ou benfeitorias em imóvel</w:t>
            </w:r>
          </w:p>
        </w:tc>
        <w:tc>
          <w:tcPr>
            <w:tcW w:w="1135" w:type="dxa"/>
            <w:vMerge w:val="restart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681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Justificativa da relação entre custos e resultados, inclusive para análise da equação custo/benefício do desembolso a ser realizado pela Administração em decorrência do convênio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o objeto do convênio envolve a aquisição de bens ou a prestação de serviços em geral, foi apresentado orçamento preliminar que demonstre a compatibilidade com os valores praticados no mercado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682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proposta não prevê repasse ante</w:t>
            </w:r>
            <w:r>
              <w:rPr>
                <w:rFonts w:ascii="Arial" w:eastAsia="Arial" w:hAnsi="Arial" w:cs="Arial"/>
                <w:sz w:val="20"/>
                <w:szCs w:val="20"/>
              </w:rPr>
              <w:t>cipado da totalidade dos recursos caso a execução ultrapasse dois meses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de obra e serviço de engenharia e arquitetura, o plano de trabalho apresenta documento de planejamento para licitação e contratação que pode ser expresso por meio de um dos seguintes instrumentos: termo de referência, anteprojeto, projeto básico e/</w:t>
            </w:r>
            <w:r>
              <w:rPr>
                <w:rFonts w:ascii="Arial" w:eastAsia="Arial" w:hAnsi="Arial" w:cs="Arial"/>
                <w:sz w:val="20"/>
                <w:szCs w:val="20"/>
              </w:rPr>
              <w:t>ou projeto executivo</w:t>
            </w:r>
          </w:p>
        </w:tc>
        <w:tc>
          <w:tcPr>
            <w:tcW w:w="1135" w:type="dxa"/>
            <w:vMerge w:val="restart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683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de obra e serviço de engenharia e arquitetura, o plano de trabalho apresenta orçamento detalhado em planilhas que expressem a composição dos custos unitários ou fundamentado em quantitativos de obras, serviços e fornecimentos propriamente avaliados</w:t>
            </w:r>
            <w:r>
              <w:rPr>
                <w:rFonts w:ascii="Arial" w:eastAsia="Arial" w:hAnsi="Arial" w:cs="Arial"/>
                <w:sz w:val="20"/>
                <w:szCs w:val="20"/>
              </w:rPr>
              <w:t>, calculado com base nos valores praticados pelo mercado, nos valores pagos pela administração pública em objetos similares ou na avaliação, aferida mediante orçamento sintético ou metodologia expedita ou paramétrica;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Em caso de obra e serviço de engenharia e arquitetura, o plano de trabalho apresenta anotações e/ou Registros de Responsabilidade Técnica dos projetos e orçamentos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de obra e serviço de engenharia e arquitetura, o plano de trabalho apresenta cron</w:t>
            </w:r>
            <w:r>
              <w:rPr>
                <w:rFonts w:ascii="Arial" w:eastAsia="Arial" w:hAnsi="Arial" w:cs="Arial"/>
                <w:sz w:val="20"/>
                <w:szCs w:val="20"/>
              </w:rPr>
              <w:t>ograma físico-financeiro da obra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de obra e serviço de engenharia e arquitetura, o plano de trabalho apresenta relatório de impactos ambientais e/ou licenças ambientais, quando exigido pelos órgãos competentes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de obra e serviço de engenharia e arquitetura, o plano de trabalho apresenta certidão atualizada do registro imobiliário, comprovando a titularidade do imóvel por parte do partícipe a quem incumbe a dominialidade do bem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de obra e serviço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engenharia e arquitetura, o plano de trabalho apresenta comprovação pelo tomador de que ele dispõe de recursos próprios para complementar a execução da obra, salvo se o custo total do empreendimento recair sobre a concedente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Caso uma das metas seja </w:t>
            </w:r>
            <w:r>
              <w:rPr>
                <w:rFonts w:ascii="Arial" w:eastAsia="Arial" w:hAnsi="Arial" w:cs="Arial"/>
                <w:sz w:val="20"/>
                <w:szCs w:val="20"/>
              </w:rPr>
              <w:t>a elaboração de projeto básico, constam no plano de trabalho elementos suficientes que permitam aferir os custos do empreendimento, por meio das metodologias expedida, paramétrica ou da técnica do orçamento sintético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8505" w:type="dxa"/>
            <w:gridSpan w:val="3"/>
            <w:tcBorders>
              <w:left w:val="nil"/>
              <w:right w:val="nil"/>
            </w:tcBorders>
            <w:vAlign w:val="center"/>
          </w:tcPr>
          <w:p w:rsidR="00F4145C" w:rsidRDefault="00F4145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4145C">
        <w:tc>
          <w:tcPr>
            <w:tcW w:w="8505" w:type="dxa"/>
            <w:gridSpan w:val="3"/>
            <w:shd w:val="clear" w:color="auto" w:fill="000000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REQUISITOS DE INSTRUÇÃO PROCESSUAL</w:t>
            </w: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Cópia simples do estatuto ou contrato social, caso a entidade convenente não for ente federativo, e comprovante de inscrição no CNPJ</w:t>
            </w:r>
          </w:p>
        </w:tc>
        <w:tc>
          <w:tcPr>
            <w:tcW w:w="1135" w:type="dxa"/>
            <w:vMerge w:val="restart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Prova de que a pessoa que assinará o convênio detém competência para este fim mediante apresentação de cópia simples: do instrumento que demonstre a condição de representante legal, quando a entidade convenente for pessoa jurídica de direito privado; do 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que deu posse e exercício à autoridade máxima, quando a convenente for pessoa jurídica de direito público; ou da ata de posse do Chefe do Poder Executivo, quando a convenente for ente federativo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ind w:left="276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Certidão ou documento equivalente atestando que o interessado está em dia com o pagamento dos tributos, empréstimos e financiamentos devidos à concedente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Certidão ou documento equivalente expedido pelo concedente atestando que o interessado está em dia </w:t>
            </w:r>
            <w:r>
              <w:rPr>
                <w:rFonts w:ascii="Arial" w:eastAsia="Arial" w:hAnsi="Arial" w:cs="Arial"/>
                <w:sz w:val="20"/>
                <w:szCs w:val="20"/>
              </w:rPr>
              <w:t>com as prestações das contas de transferências dos recursos dele recebidos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Certidão negativa específica emitida pela Secretaria da Receita Federal do Brasil quanto à inexistência de débitos perante a seguridade social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Certidão negativa conjunta emitida pela Secretaria da Receita Federal do Brasil e pela Procuradoria-Geral da Fazenda Nacional quanto aos demais tributos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Prova de regularidade do convenente para com a Seguridade Social (INSS), mediante a apresentação da </w:t>
            </w:r>
            <w:r>
              <w:rPr>
                <w:rFonts w:ascii="Arial" w:eastAsia="Arial" w:hAnsi="Arial" w:cs="Arial"/>
                <w:sz w:val="20"/>
                <w:szCs w:val="20"/>
              </w:rPr>
              <w:t>Certidão Negativa de Débitos (CND), e o Fundo de Garantia por Tempo de Serviço (FGTS), mediante a apresentação do Certificado de Regularidade de Situação (CRS)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Prova de regularidade com a Fazenda Pública Estadual 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Prova de regularidade com a Fazenda Pública Municipal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Certidão negativa de débitos trabalhistas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Consulta ao Cadin-PR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Certidão expedida pelo Tribunal de Contas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Orçamento devidamente detalhado em planilhas nos termos do art. 368 a 372 e do art. 484 a 486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O plano de aplicação dos recursos </w:t>
            </w:r>
            <w:r>
              <w:rPr>
                <w:rFonts w:ascii="Arial" w:eastAsia="Arial" w:hAnsi="Arial" w:cs="Arial"/>
                <w:sz w:val="20"/>
                <w:szCs w:val="20"/>
              </w:rPr>
              <w:t>específica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observa as metas quantitativas e qualificativas constantes do plano de trabalho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liberação de recursos financeiros obedece ao cronograma de desembolso e guardar consonância com as fases ou etapas de execução do objeto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plano de trabalho contempla previsão de prestações de contas parciais dos recursos repassados de forma parcelada, correspondentes e consentâneos com o respectivo plano e cronograma de desembolso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8505" w:type="dxa"/>
            <w:gridSpan w:val="3"/>
            <w:shd w:val="clear" w:color="auto" w:fill="000000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black"/>
              </w:rPr>
              <w:t>INFORMAÇÕES ORÇAMENTÁRIAS E FINANCEIRAS</w:t>
            </w: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Indicação das fontes de recurso e da dotação orçamentária que assegurarão a integral execução do convênio; 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25, § 1º - LC 101/00; 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Quadro de Detalhamento de Despesa – QDD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1º - Dec. 8.622/13; 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Estimativa do impacto orçamentário-financeiro no exercício em que deva entrar em vigor e nos dois subsequentes;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16, I - LC 101/00; 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Declaração do ordenador de que a despesa tem adequação orçamentária e financeira com a Lei Orçamentária Anual e compatibilidade com o Plano Plurianual e com a Lei de Diretrizes Orçamentárias;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16, I - LC 101/00; 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rPr>
          <w:trHeight w:val="70"/>
        </w:trPr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Declaração 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ordenador de despesa de que existe disponibilidade de caixa para pagamento das despesas decorrentes de convênio a ser celebrado nos dois últimos quadrimestres do mandato;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42 - LC 101/00; 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Indicação do crédito e o respectivo empenho para atender à despesa no exercício em curso, bem como apontamento de cada parcela da despesa relativa à parte a ser executada em exercício futuro, mediante apostilamento, nos instrumentos cuja duração ultrapasse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um exercício financeiro;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4145C" w:rsidRDefault="00F4145C">
      <w:pPr>
        <w:rPr>
          <w:sz w:val="20"/>
          <w:szCs w:val="20"/>
        </w:rPr>
      </w:pPr>
    </w:p>
    <w:tbl>
      <w:tblPr>
        <w:tblStyle w:val="a1"/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0"/>
        <w:gridCol w:w="1135"/>
        <w:gridCol w:w="850"/>
      </w:tblGrid>
      <w:tr w:rsidR="00F4145C">
        <w:tc>
          <w:tcPr>
            <w:tcW w:w="8505" w:type="dxa"/>
            <w:gridSpan w:val="3"/>
            <w:shd w:val="clear" w:color="auto" w:fill="000000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REQUISITOS PARA CELEBRAÇÃO</w:t>
            </w: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Comprovação prévia de disponibilidade orçamentária e financeira e aprovação do Plano de Trabalho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663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a proponente é entidade privada sem fins lucrativos, foi realizado chamamento público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666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a proponente é entidade privada com fins lucrativos, foi comprovado que o ajuste resulta benefícios sociais, é consentâneo a programa go</w:t>
            </w:r>
            <w:r>
              <w:rPr>
                <w:rFonts w:ascii="Arial" w:eastAsia="Arial" w:hAnsi="Arial" w:cs="Arial"/>
                <w:sz w:val="20"/>
                <w:szCs w:val="20"/>
              </w:rPr>
              <w:t>vernamental e as atribuições da proponente estão alinhadas com suas finalidades institucionais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667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motivação foi demonstrada com menção dos esforços de cada partícipe e os resultados pretendidos</w:t>
            </w:r>
          </w:p>
        </w:tc>
        <w:tc>
          <w:tcPr>
            <w:tcW w:w="1135" w:type="dxa"/>
            <w:vMerge w:val="restart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669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 contrapartida foi dispensada mediante critérios previamente definidos ou justificativa do titular do órgão ou entidade concedente, com autorização governamental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tabs>
                <w:tab w:val="left" w:pos="2179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contrapartida foi satisfeita por meio de recursos financeiros ou bens e serviços economicamente mensuráveis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Foi comprovado que a contrapartida está devidamente assegurada e, se financeira, com indicação da disponibilidade orçamentária</w:t>
            </w:r>
          </w:p>
        </w:tc>
        <w:tc>
          <w:tcPr>
            <w:tcW w:w="1135" w:type="dxa"/>
            <w:vMerge/>
            <w:vAlign w:val="center"/>
          </w:tcPr>
          <w:p w:rsidR="00F4145C" w:rsidRDefault="00F4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 foi const</w:t>
            </w:r>
            <w:r>
              <w:rPr>
                <w:rFonts w:ascii="Arial" w:eastAsia="Arial" w:hAnsi="Arial" w:cs="Arial"/>
                <w:sz w:val="20"/>
                <w:szCs w:val="20"/>
              </w:rPr>
              <w:t>atada nenhuma das hipóteses do art. 670 e art. 671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670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4145C">
        <w:tc>
          <w:tcPr>
            <w:tcW w:w="6520" w:type="dxa"/>
          </w:tcPr>
          <w:p w:rsidR="00F4145C" w:rsidRDefault="00913A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proponente está regular perante as Fazendas Públicas, Tribunal de Contas, Débitos Trabalhistas e Previdenciários </w:t>
            </w:r>
          </w:p>
        </w:tc>
        <w:tc>
          <w:tcPr>
            <w:tcW w:w="1135" w:type="dxa"/>
            <w:vAlign w:val="center"/>
          </w:tcPr>
          <w:p w:rsidR="00F4145C" w:rsidRDefault="00913AA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Art. 679 – Dec. 10.086/22</w:t>
            </w:r>
          </w:p>
        </w:tc>
        <w:tc>
          <w:tcPr>
            <w:tcW w:w="850" w:type="dxa"/>
          </w:tcPr>
          <w:p w:rsidR="00F4145C" w:rsidRDefault="00F4145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4145C" w:rsidRDefault="00F4145C"/>
    <w:p w:rsidR="00F4145C" w:rsidRDefault="00913AA2">
      <w:pPr>
        <w:ind w:left="142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  <w:highlight w:val="yellow"/>
        </w:rPr>
        <w:t>Curitiba, XX de xxxxxx de 20XX.</w:t>
      </w:r>
    </w:p>
    <w:p w:rsidR="00F4145C" w:rsidRDefault="00913AA2">
      <w:pPr>
        <w:spacing w:after="0"/>
        <w:ind w:left="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highlight w:val="yellow"/>
        </w:rPr>
        <w:t>NOME DO SERVIDOR</w:t>
      </w:r>
    </w:p>
    <w:p w:rsidR="00F4145C" w:rsidRDefault="00913AA2">
      <w:pPr>
        <w:spacing w:after="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Responsável pela elaboração</w:t>
      </w:r>
    </w:p>
    <w:p w:rsidR="00F4145C" w:rsidRDefault="00913AA2">
      <w:pPr>
        <w:spacing w:after="0"/>
        <w:ind w:lef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Setor</w:t>
      </w:r>
    </w:p>
    <w:sectPr w:rsidR="00F4145C">
      <w:headerReference w:type="default" r:id="rId7"/>
      <w:footerReference w:type="default" r:id="rId8"/>
      <w:pgSz w:w="11906" w:h="16838"/>
      <w:pgMar w:top="219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AA2" w:rsidRDefault="00913AA2">
      <w:pPr>
        <w:spacing w:after="0" w:line="240" w:lineRule="auto"/>
      </w:pPr>
      <w:r>
        <w:separator/>
      </w:r>
    </w:p>
  </w:endnote>
  <w:endnote w:type="continuationSeparator" w:id="0">
    <w:p w:rsidR="00913AA2" w:rsidRDefault="0091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5C" w:rsidRDefault="00913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-1061084</wp:posOffset>
          </wp:positionH>
          <wp:positionV relativeFrom="paragraph">
            <wp:posOffset>171450</wp:posOffset>
          </wp:positionV>
          <wp:extent cx="7548880" cy="4032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8880" cy="403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AA2" w:rsidRDefault="00913AA2">
      <w:pPr>
        <w:spacing w:after="0" w:line="240" w:lineRule="auto"/>
      </w:pPr>
      <w:r>
        <w:separator/>
      </w:r>
    </w:p>
  </w:footnote>
  <w:footnote w:type="continuationSeparator" w:id="0">
    <w:p w:rsidR="00913AA2" w:rsidRDefault="0091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5C" w:rsidRDefault="00913A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3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262626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1630045</wp:posOffset>
          </wp:positionH>
          <wp:positionV relativeFrom="paragraph">
            <wp:posOffset>-295274</wp:posOffset>
          </wp:positionV>
          <wp:extent cx="1988185" cy="8763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18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145C" w:rsidRDefault="00F41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3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262626"/>
        <w:sz w:val="14"/>
        <w:szCs w:val="14"/>
      </w:rPr>
    </w:pPr>
  </w:p>
  <w:p w:rsidR="00F4145C" w:rsidRDefault="00F41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3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262626"/>
        <w:sz w:val="14"/>
        <w:szCs w:val="14"/>
      </w:rPr>
    </w:pPr>
  </w:p>
  <w:p w:rsidR="00F4145C" w:rsidRDefault="00F41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3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262626"/>
        <w:sz w:val="14"/>
        <w:szCs w:val="14"/>
      </w:rPr>
    </w:pPr>
  </w:p>
  <w:p w:rsidR="00F4145C" w:rsidRDefault="00F41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3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262626"/>
        <w:sz w:val="14"/>
        <w:szCs w:val="14"/>
      </w:rPr>
    </w:pPr>
  </w:p>
  <w:p w:rsidR="00F4145C" w:rsidRDefault="00F41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3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262626"/>
        <w:sz w:val="14"/>
        <w:szCs w:val="14"/>
      </w:rPr>
    </w:pPr>
  </w:p>
  <w:p w:rsidR="00F4145C" w:rsidRDefault="00F41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93"/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262626"/>
        <w:sz w:val="14"/>
        <w:szCs w:val="14"/>
      </w:rPr>
    </w:pPr>
  </w:p>
  <w:p w:rsidR="00F4145C" w:rsidRDefault="00913AA2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  <w:tab w:val="left" w:pos="3091"/>
        <w:tab w:val="center" w:pos="4252"/>
        <w:tab w:val="center" w:pos="6350"/>
        <w:tab w:val="right" w:pos="8504"/>
        <w:tab w:val="right" w:pos="10602"/>
      </w:tabs>
      <w:spacing w:after="0" w:line="240" w:lineRule="auto"/>
      <w:ind w:left="2098"/>
      <w:jc w:val="right"/>
      <w:rPr>
        <w:rFonts w:ascii="Calibri" w:eastAsia="Calibri" w:hAnsi="Calibri" w:cs="Calibri"/>
        <w:color w:val="000000"/>
      </w:rPr>
    </w:pPr>
    <w:r>
      <w:rPr>
        <w:rFonts w:ascii="Arial" w:eastAsia="Arial" w:hAnsi="Arial" w:cs="Arial"/>
        <w:color w:val="000000"/>
        <w:sz w:val="14"/>
        <w:szCs w:val="14"/>
        <w:highlight w:val="yellow"/>
      </w:rPr>
      <w:t>Protocolo n° 00.000.000-0 –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  <w:highlight w:val="yellow"/>
      </w:rPr>
      <w:t>Convênio n°</w:t>
    </w:r>
    <w:r>
      <w:rPr>
        <w:rFonts w:ascii="Arial" w:eastAsia="Arial" w:hAnsi="Arial" w:cs="Arial"/>
        <w:color w:val="FF0000"/>
        <w:sz w:val="14"/>
        <w:szCs w:val="14"/>
        <w:highlight w:val="yellow"/>
      </w:rPr>
      <w:t xml:space="preserve"> </w:t>
    </w:r>
    <w:r>
      <w:rPr>
        <w:rFonts w:ascii="Arial" w:eastAsia="Arial" w:hAnsi="Arial" w:cs="Arial"/>
        <w:color w:val="000000"/>
        <w:sz w:val="14"/>
        <w:szCs w:val="14"/>
        <w:highlight w:val="yellow"/>
      </w:rPr>
      <w:t>XXXX/202X</w:t>
    </w:r>
    <w:r>
      <w:rPr>
        <w:rFonts w:ascii="Arial" w:eastAsia="Arial" w:hAnsi="Arial" w:cs="Arial"/>
        <w:color w:val="000000"/>
        <w:sz w:val="14"/>
        <w:szCs w:val="14"/>
      </w:rPr>
      <w:t xml:space="preserve">  </w:t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(página </w:t>
    </w:r>
    <w:r>
      <w:rPr>
        <w:rFonts w:ascii="Calibri" w:eastAsia="Calibri" w:hAnsi="Calibri" w:cs="Calibri"/>
        <w:color w:val="000000"/>
        <w:sz w:val="14"/>
        <w:szCs w:val="14"/>
        <w:u w:val="single"/>
      </w:rPr>
      <w:fldChar w:fldCharType="begin"/>
    </w:r>
    <w:r>
      <w:rPr>
        <w:rFonts w:ascii="Calibri" w:eastAsia="Calibri" w:hAnsi="Calibri" w:cs="Calibri"/>
        <w:color w:val="000000"/>
        <w:sz w:val="14"/>
        <w:szCs w:val="14"/>
        <w:u w:val="single"/>
      </w:rPr>
      <w:instrText>PAGE</w:instrText>
    </w:r>
    <w:r w:rsidR="00C11D4F">
      <w:rPr>
        <w:rFonts w:ascii="Calibri" w:eastAsia="Calibri" w:hAnsi="Calibri" w:cs="Calibri"/>
        <w:color w:val="000000"/>
        <w:sz w:val="14"/>
        <w:szCs w:val="14"/>
        <w:u w:val="single"/>
      </w:rPr>
      <w:fldChar w:fldCharType="separate"/>
    </w:r>
    <w:r w:rsidR="00C11D4F">
      <w:rPr>
        <w:rFonts w:ascii="Calibri" w:eastAsia="Calibri" w:hAnsi="Calibri" w:cs="Calibri"/>
        <w:noProof/>
        <w:color w:val="000000"/>
        <w:sz w:val="14"/>
        <w:szCs w:val="14"/>
        <w:u w:val="single"/>
      </w:rPr>
      <w:t>1</w:t>
    </w:r>
    <w:r>
      <w:rPr>
        <w:rFonts w:ascii="Calibri" w:eastAsia="Calibri" w:hAnsi="Calibri" w:cs="Calibri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 xml:space="preserve"> de </w:t>
    </w:r>
    <w:r>
      <w:rPr>
        <w:rFonts w:ascii="Calibri" w:eastAsia="Calibri" w:hAnsi="Calibri" w:cs="Calibri"/>
        <w:color w:val="000000"/>
        <w:sz w:val="14"/>
        <w:szCs w:val="14"/>
        <w:u w:val="single"/>
      </w:rPr>
      <w:fldChar w:fldCharType="begin"/>
    </w:r>
    <w:r>
      <w:rPr>
        <w:rFonts w:ascii="Calibri" w:eastAsia="Calibri" w:hAnsi="Calibri" w:cs="Calibri"/>
        <w:color w:val="000000"/>
        <w:sz w:val="14"/>
        <w:szCs w:val="14"/>
        <w:u w:val="single"/>
      </w:rPr>
      <w:instrText>NUMPAGES</w:instrText>
    </w:r>
    <w:r w:rsidR="00C11D4F">
      <w:rPr>
        <w:rFonts w:ascii="Calibri" w:eastAsia="Calibri" w:hAnsi="Calibri" w:cs="Calibri"/>
        <w:color w:val="000000"/>
        <w:sz w:val="14"/>
        <w:szCs w:val="14"/>
        <w:u w:val="single"/>
      </w:rPr>
      <w:fldChar w:fldCharType="separate"/>
    </w:r>
    <w:r w:rsidR="00C11D4F">
      <w:rPr>
        <w:rFonts w:ascii="Calibri" w:eastAsia="Calibri" w:hAnsi="Calibri" w:cs="Calibri"/>
        <w:noProof/>
        <w:color w:val="000000"/>
        <w:sz w:val="14"/>
        <w:szCs w:val="14"/>
        <w:u w:val="single"/>
      </w:rPr>
      <w:t>1</w:t>
    </w:r>
    <w:r>
      <w:rPr>
        <w:rFonts w:ascii="Calibri" w:eastAsia="Calibri" w:hAnsi="Calibri" w:cs="Calibri"/>
        <w:color w:val="000000"/>
        <w:sz w:val="14"/>
        <w:szCs w:val="14"/>
        <w:u w:val="single"/>
      </w:rPr>
      <w:fldChar w:fldCharType="end"/>
    </w:r>
    <w:r>
      <w:rPr>
        <w:rFonts w:ascii="Arial" w:eastAsia="Arial" w:hAnsi="Arial" w:cs="Arial"/>
        <w:color w:val="000000"/>
        <w:sz w:val="14"/>
        <w:szCs w:val="14"/>
        <w:u w:val="single"/>
      </w:rPr>
      <w:t>)</w:t>
    </w:r>
  </w:p>
  <w:p w:rsidR="00F4145C" w:rsidRDefault="00F414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C"/>
    <w:rsid w:val="00913AA2"/>
    <w:rsid w:val="00C11D4F"/>
    <w:rsid w:val="00F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7976-6AD2-4DCC-A947-C58EC94B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FF1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qFormat/>
    <w:rsid w:val="00D51D68"/>
  </w:style>
  <w:style w:type="character" w:customStyle="1" w:styleId="RodapChar">
    <w:name w:val="Rodapé Char"/>
    <w:basedOn w:val="Fontepargpadro"/>
    <w:link w:val="Rodap"/>
    <w:uiPriority w:val="99"/>
    <w:qFormat/>
    <w:rsid w:val="00D51D6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51D68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qFormat/>
    <w:rsid w:val="007C12E9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F926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382B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nhideWhenUsed/>
    <w:rsid w:val="00D51D6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51D6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51D6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TcONzljIWr5C+OES5+a31x+DA==">CgMxLjAyCGguZ2pkZ3hzOAByITFUcGpONnUybzVlVl9mZS1xU1J5MVZ6WTFKbldrT09tYw==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Procuradoria Geral do Estado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Do Nascimento</dc:creator>
  <cp:lastModifiedBy>Jhonathan Lemos</cp:lastModifiedBy>
  <cp:revision>2</cp:revision>
  <dcterms:created xsi:type="dcterms:W3CDTF">2024-07-15T19:10:00Z</dcterms:created>
  <dcterms:modified xsi:type="dcterms:W3CDTF">2024-07-15T19:10:00Z</dcterms:modified>
</cp:coreProperties>
</file>