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tabs>
          <w:tab w:val="clear" w:pos="720"/>
          <w:tab w:val="left" w:pos="284" w:leader="none"/>
        </w:tabs>
        <w:spacing w:lineRule="auto" w:line="240" w:before="57" w:after="0"/>
        <w:jc w:val="center"/>
        <w:rPr>
          <w:rFonts w:ascii="Arial" w:hAnsi="Arial" w:eastAsia="Arial" w:cs="Arial"/>
          <w:b/>
          <w:bCs/>
          <w:position w:val="0"/>
          <w:sz w:val="24"/>
          <w:sz w:val="24"/>
          <w:szCs w:val="24"/>
          <w:u w:val="single"/>
          <w:vertAlign w:val="baseline"/>
        </w:rPr>
      </w:pPr>
      <w:r>
        <w:rPr>
          <w:rFonts w:eastAsia="Arial" w:cs="Arial" w:ascii="Arial" w:hAnsi="Arial"/>
          <w:b/>
          <w:bCs/>
          <w:position w:val="0"/>
          <w:sz w:val="24"/>
          <w:sz w:val="24"/>
          <w:szCs w:val="24"/>
          <w:u w:val="single"/>
          <w:vertAlign w:val="baseline"/>
        </w:rPr>
      </w:r>
    </w:p>
    <w:p>
      <w:pPr>
        <w:pStyle w:val="Normal1"/>
        <w:shd w:val="clear" w:fill="FFFFFF"/>
        <w:tabs>
          <w:tab w:val="clear" w:pos="720"/>
          <w:tab w:val="left" w:pos="284" w:leader="none"/>
        </w:tabs>
        <w:spacing w:lineRule="auto" w:line="240" w:before="57" w:after="0"/>
        <w:jc w:val="center"/>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position w:val="0"/>
          <w:sz w:val="24"/>
          <w:sz w:val="24"/>
          <w:szCs w:val="24"/>
          <w:vertAlign w:val="baseline"/>
        </w:rPr>
        <w:t>EDITAL</w:t>
      </w:r>
    </w:p>
    <w:p>
      <w:pPr>
        <w:pStyle w:val="Normal1"/>
        <w:shd w:val="clear" w:fill="FFFFFF"/>
        <w:tabs>
          <w:tab w:val="clear" w:pos="720"/>
          <w:tab w:val="left" w:pos="284" w:leader="none"/>
        </w:tabs>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O ESTADO do PARANÁ, por intermédio do </w:t>
      </w:r>
      <w:r>
        <w:rPr>
          <w:rFonts w:eastAsia="Arial" w:cs="Arial" w:ascii="Arial" w:hAnsi="Arial"/>
          <w:b/>
          <w:i w:val="false"/>
          <w:caps w:val="false"/>
          <w:smallCaps w:val="false"/>
          <w:strike w:val="false"/>
          <w:dstrike w:val="false"/>
          <w:position w:val="0"/>
          <w:sz w:val="20"/>
          <w:sz w:val="20"/>
          <w:szCs w:val="20"/>
          <w:highlight w:val="yellow"/>
          <w:vertAlign w:val="baseline"/>
        </w:rPr>
        <w:t>XXXXXXXX</w:t>
      </w:r>
      <w:r>
        <w:rPr>
          <w:rFonts w:eastAsia="Arial" w:cs="Arial" w:ascii="Arial" w:hAnsi="Arial"/>
          <w:b/>
          <w:i w:val="false"/>
          <w:caps w:val="false"/>
          <w:smallCaps w:val="false"/>
          <w:strike w:val="false"/>
          <w:dstrike w:val="false"/>
          <w:position w:val="0"/>
          <w:sz w:val="20"/>
          <w:sz w:val="20"/>
          <w:szCs w:val="20"/>
          <w:vertAlign w:val="baseline"/>
        </w:rPr>
        <w:t xml:space="preserve"> (SETOR)</w:t>
      </w:r>
      <w:r>
        <w:rPr>
          <w:rFonts w:eastAsia="Arial" w:cs="Arial" w:ascii="Arial" w:hAnsi="Arial"/>
          <w:b/>
          <w:i w:val="false"/>
          <w:caps w:val="false"/>
          <w:smallCaps w:val="false"/>
          <w:strike w:val="false"/>
          <w:dstrike w:val="false"/>
          <w:color w:val="000000"/>
          <w:position w:val="0"/>
          <w:sz w:val="20"/>
          <w:sz w:val="20"/>
          <w:szCs w:val="20"/>
          <w:vertAlign w:val="baseline"/>
        </w:rPr>
        <w:t xml:space="preserve"> da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XXXXXXXXX</w:t>
      </w:r>
      <w:r>
        <w:rPr>
          <w:rFonts w:eastAsia="Arial" w:cs="Arial" w:ascii="Arial" w:hAnsi="Arial"/>
          <w:b/>
          <w:i w:val="false"/>
          <w:caps w:val="false"/>
          <w:smallCaps w:val="false"/>
          <w:strike w:val="false"/>
          <w:dstrike w:val="false"/>
          <w:color w:val="000000"/>
          <w:position w:val="0"/>
          <w:sz w:val="20"/>
          <w:sz w:val="20"/>
          <w:szCs w:val="20"/>
          <w:vertAlign w:val="baseline"/>
        </w:rPr>
        <w:t xml:space="preserve"> (ÓRGÃO/ENTIDADE ESTADUAL),</w:t>
      </w:r>
      <w:r>
        <w:rPr>
          <w:rFonts w:eastAsia="Arial" w:cs="Arial" w:ascii="Arial" w:hAnsi="Arial"/>
          <w:b w:val="false"/>
          <w:i w:val="false"/>
          <w:caps w:val="false"/>
          <w:smallCaps w:val="false"/>
          <w:strike w:val="false"/>
          <w:dstrike w:val="false"/>
          <w:position w:val="0"/>
          <w:sz w:val="20"/>
          <w:sz w:val="20"/>
          <w:szCs w:val="20"/>
          <w:vertAlign w:val="baseline"/>
        </w:rPr>
        <w:t xml:space="preserve"> torna público que realizará licitação nos seguintes termos:</w:t>
      </w:r>
    </w:p>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
        <w:tblW w:w="9075" w:type="dxa"/>
        <w:jc w:val="left"/>
        <w:tblInd w:w="-55" w:type="dxa"/>
        <w:tblLayout w:type="fixed"/>
        <w:tblCellMar>
          <w:top w:w="0" w:type="dxa"/>
          <w:left w:w="108" w:type="dxa"/>
          <w:bottom w:w="0" w:type="dxa"/>
          <w:right w:w="108" w:type="dxa"/>
        </w:tblCellMar>
        <w:tblLook w:val="0000"/>
      </w:tblPr>
      <w:tblGrid>
        <w:gridCol w:w="3550"/>
        <w:gridCol w:w="5524"/>
      </w:tblGrid>
      <w:tr>
        <w:trPr/>
        <w:tc>
          <w:tcPr>
            <w:tcW w:w="3550" w:type="dxa"/>
            <w:tcBorders>
              <w:top w:val="single" w:sz="8" w:space="0" w:color="000000"/>
              <w:left w:val="single" w:sz="8" w:space="0" w:color="000000"/>
              <w:bottom w:val="single" w:sz="8" w:space="0" w:color="000000"/>
            </w:tcBorders>
            <w:shd w:fill="auto" w:val="clear"/>
          </w:tcPr>
          <w:p>
            <w:pPr>
              <w:pStyle w:val="Normal1"/>
              <w:shd w:val="clear" w:fill="FFFFFF"/>
              <w:spacing w:lineRule="auto" w:line="240" w:before="57" w:after="0"/>
              <w:jc w:val="center"/>
              <w:rPr>
                <w:rFonts w:ascii="Arial" w:hAnsi="Arial" w:eastAsia="Arial" w:cs="Arial"/>
                <w:position w:val="0"/>
                <w:sz w:val="24"/>
                <w:sz w:val="24"/>
                <w:szCs w:val="24"/>
                <w:vertAlign w:val="baseline"/>
              </w:rPr>
            </w:pPr>
            <w:r>
              <w:rPr>
                <w:rFonts w:eastAsia="Arial" w:cs="Arial" w:ascii="Arial" w:hAnsi="Arial"/>
                <w:b/>
                <w:i w:val="false"/>
                <w:caps w:val="false"/>
                <w:smallCaps w:val="false"/>
                <w:strike w:val="false"/>
                <w:dstrike w:val="false"/>
                <w:position w:val="0"/>
                <w:sz w:val="24"/>
                <w:sz w:val="24"/>
                <w:szCs w:val="24"/>
                <w:highlight w:val="white"/>
                <w:vertAlign w:val="baseline"/>
              </w:rPr>
              <w:t>PREGÃO ELETRÔNICO:</w:t>
            </w:r>
          </w:p>
          <w:p>
            <w:pPr>
              <w:pStyle w:val="Normal1"/>
              <w:shd w:val="clear" w:fill="FFFFFF"/>
              <w:spacing w:lineRule="auto" w:line="240" w:before="57"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hd w:val="clear" w:fill="FFFFFF"/>
              <w:spacing w:lineRule="auto" w:line="240" w:before="57" w:after="0"/>
              <w:jc w:val="center"/>
              <w:rPr>
                <w:rFonts w:ascii="Arial" w:hAnsi="Arial" w:eastAsia="Arial" w:cs="Arial"/>
                <w:position w:val="0"/>
                <w:sz w:val="24"/>
                <w:sz w:val="24"/>
                <w:szCs w:val="24"/>
                <w:highlight w:val="white"/>
                <w:vertAlign w:val="baseline"/>
              </w:rPr>
            </w:pPr>
            <w:r>
              <w:rPr>
                <w:rFonts w:eastAsia="Arial" w:cs="Arial" w:ascii="Arial" w:hAnsi="Arial"/>
                <w:b/>
                <w:i w:val="false"/>
                <w:caps w:val="false"/>
                <w:smallCaps w:val="false"/>
                <w:strike w:val="false"/>
                <w:dstrike w:val="false"/>
                <w:color w:val="000000"/>
                <w:position w:val="0"/>
                <w:sz w:val="24"/>
                <w:sz w:val="24"/>
                <w:szCs w:val="24"/>
                <w:highlight w:val="yellow"/>
                <w:vertAlign w:val="baseline"/>
              </w:rPr>
              <w:t>XXXX</w:t>
            </w:r>
            <w:r>
              <w:rPr>
                <w:rFonts w:eastAsia="Arial" w:cs="Arial" w:ascii="Arial" w:hAnsi="Arial"/>
                <w:b/>
                <w:i w:val="false"/>
                <w:caps w:val="false"/>
                <w:smallCaps w:val="false"/>
                <w:strike w:val="false"/>
                <w:dstrike w:val="false"/>
                <w:color w:val="000000"/>
                <w:position w:val="0"/>
                <w:sz w:val="24"/>
                <w:sz w:val="24"/>
                <w:szCs w:val="24"/>
                <w:highlight w:val="white"/>
                <w:vertAlign w:val="baseline"/>
              </w:rPr>
              <w:t>/20</w:t>
            </w:r>
            <w:r>
              <w:rPr>
                <w:rFonts w:eastAsia="Arial" w:cs="Arial" w:ascii="Arial" w:hAnsi="Arial"/>
                <w:b/>
                <w:i w:val="false"/>
                <w:caps w:val="false"/>
                <w:smallCaps w:val="false"/>
                <w:strike w:val="false"/>
                <w:dstrike w:val="false"/>
                <w:color w:val="000000"/>
                <w:position w:val="0"/>
                <w:sz w:val="24"/>
                <w:sz w:val="24"/>
                <w:szCs w:val="24"/>
                <w:highlight w:val="yellow"/>
                <w:vertAlign w:val="baseline"/>
              </w:rPr>
              <w:t>XX</w:t>
            </w:r>
          </w:p>
          <w:p>
            <w:pPr>
              <w:pStyle w:val="Normal1"/>
              <w:shd w:val="clear" w:fill="FFFFFF"/>
              <w:spacing w:lineRule="auto" w:line="240" w:before="57" w:after="0"/>
              <w:jc w:val="center"/>
              <w:rPr>
                <w:rFonts w:ascii="Arial" w:hAnsi="Arial" w:eastAsia="Arial" w:cs="Arial"/>
                <w:position w:val="0"/>
                <w:sz w:val="24"/>
                <w:sz w:val="24"/>
                <w:szCs w:val="24"/>
                <w:highlight w:val="white"/>
                <w:vertAlign w:val="baseline"/>
              </w:rPr>
            </w:pPr>
            <w:r>
              <w:rPr>
                <w:rFonts w:eastAsia="Arial" w:cs="Arial" w:ascii="Arial" w:hAnsi="Arial"/>
                <w:position w:val="0"/>
                <w:sz w:val="24"/>
                <w:sz w:val="24"/>
                <w:szCs w:val="24"/>
                <w:highlight w:val="white"/>
                <w:vertAlign w:val="baseline"/>
              </w:rPr>
            </w:r>
          </w:p>
          <w:p>
            <w:pPr>
              <w:pStyle w:val="Normal1"/>
              <w:shd w:val="clear" w:fill="FFFFFF"/>
              <w:spacing w:lineRule="auto" w:line="240" w:before="57" w:after="0"/>
              <w:jc w:val="center"/>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vertAlign w:val="baseline"/>
              </w:rPr>
              <w:t>TIPO:</w:t>
            </w:r>
            <w:r>
              <w:rPr>
                <w:rFonts w:eastAsia="Arial" w:cs="Arial" w:ascii="Arial" w:hAnsi="Arial"/>
                <w:b/>
                <w:i w:val="false"/>
                <w:caps w:val="false"/>
                <w:smallCaps w:val="false"/>
                <w:strike w:val="false"/>
                <w:dstrike w:val="false"/>
                <w:color w:val="000000"/>
                <w:position w:val="0"/>
                <w:sz w:val="24"/>
                <w:sz w:val="24"/>
                <w:szCs w:val="24"/>
                <w:vertAlign w:val="baseline"/>
              </w:rPr>
              <w:t xml:space="preserve"> </w:t>
            </w:r>
            <w:r>
              <w:rPr>
                <w:rFonts w:eastAsia="Arial" w:cs="Arial" w:ascii="Arial" w:hAnsi="Arial"/>
                <w:b w:val="false"/>
                <w:i w:val="false"/>
                <w:caps w:val="false"/>
                <w:smallCaps w:val="false"/>
                <w:strike w:val="false"/>
                <w:dstrike w:val="false"/>
                <w:position w:val="0"/>
                <w:sz w:val="24"/>
                <w:sz w:val="24"/>
                <w:szCs w:val="24"/>
                <w:vertAlign w:val="baseline"/>
              </w:rPr>
              <w:t>MENOR PREÇO (OU MAIOR DESCONTO)</w:t>
            </w:r>
          </w:p>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5524"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center"/>
              <w:rPr>
                <w:rFonts w:ascii="Arial" w:hAnsi="Arial" w:eastAsia="Arial" w:cs="Arial"/>
                <w:b/>
                <w:position w:val="0"/>
                <w:sz w:val="24"/>
                <w:sz w:val="24"/>
                <w:szCs w:val="24"/>
                <w:highlight w:val="white"/>
                <w:vertAlign w:val="baseline"/>
              </w:rPr>
            </w:pPr>
            <w:r>
              <w:rPr>
                <w:rFonts w:eastAsia="Arial" w:cs="Arial" w:ascii="Arial" w:hAnsi="Arial"/>
                <w:b/>
                <w:i w:val="false"/>
                <w:caps w:val="false"/>
                <w:smallCaps w:val="false"/>
                <w:strike w:val="false"/>
                <w:dstrike w:val="false"/>
                <w:position w:val="0"/>
                <w:sz w:val="24"/>
                <w:sz w:val="24"/>
                <w:szCs w:val="24"/>
                <w:highlight w:val="white"/>
                <w:vertAlign w:val="baseline"/>
              </w:rPr>
              <w:t>Acolhimento/Abertura/Divulgação de Propostas:</w:t>
            </w:r>
          </w:p>
          <w:p>
            <w:pPr>
              <w:pStyle w:val="Normal1"/>
              <w:shd w:val="clear" w:fill="FFFFFF"/>
              <w:spacing w:lineRule="auto" w:line="240" w:before="57" w:after="0"/>
              <w:ind w:right="-1"/>
              <w:jc w:val="center"/>
              <w:rPr>
                <w:rFonts w:ascii="Arial" w:hAnsi="Arial" w:eastAsia="Arial" w:cs="Arial"/>
                <w:position w:val="0"/>
                <w:sz w:val="24"/>
                <w:sz w:val="24"/>
                <w:szCs w:val="24"/>
                <w:highlight w:val="white"/>
                <w:vertAlign w:val="baseline"/>
              </w:rPr>
            </w:pPr>
            <w:r>
              <w:rPr>
                <w:rFonts w:eastAsia="Arial" w:cs="Arial" w:ascii="Arial" w:hAnsi="Arial"/>
                <w:b/>
                <w:i w:val="false"/>
                <w:caps w:val="false"/>
                <w:smallCaps w:val="false"/>
                <w:strike w:val="false"/>
                <w:dstrike w:val="false"/>
                <w:position w:val="0"/>
                <w:sz w:val="24"/>
                <w:sz w:val="24"/>
                <w:szCs w:val="24"/>
                <w:highlight w:val="white"/>
                <w:vertAlign w:val="baseline"/>
              </w:rPr>
              <w:t>Até __ h __ min do dia __/__/____</w:t>
            </w:r>
          </w:p>
          <w:p>
            <w:pPr>
              <w:pStyle w:val="Normal1"/>
              <w:shd w:val="clear" w:fill="FFFFFF"/>
              <w:spacing w:lineRule="auto" w:line="240" w:before="57" w:after="0"/>
              <w:ind w:right="-1"/>
              <w:jc w:val="center"/>
              <w:rPr>
                <w:rFonts w:ascii="Arial" w:hAnsi="Arial" w:eastAsia="Arial" w:cs="Arial"/>
                <w:b/>
                <w:position w:val="0"/>
                <w:sz w:val="24"/>
                <w:sz w:val="24"/>
                <w:szCs w:val="24"/>
                <w:highlight w:val="white"/>
                <w:vertAlign w:val="baseline"/>
              </w:rPr>
            </w:pPr>
            <w:r>
              <w:rPr>
                <w:rFonts w:eastAsia="Arial" w:cs="Arial" w:ascii="Arial" w:hAnsi="Arial"/>
                <w:b w:val="false"/>
                <w:i w:val="false"/>
                <w:caps w:val="false"/>
                <w:smallCaps w:val="false"/>
                <w:strike w:val="false"/>
                <w:dstrike w:val="false"/>
                <w:position w:val="0"/>
                <w:sz w:val="24"/>
                <w:sz w:val="24"/>
                <w:szCs w:val="24"/>
                <w:highlight w:val="white"/>
                <w:vertAlign w:val="baseline"/>
              </w:rPr>
              <w:t>Início da sessão / disputa de lances:</w:t>
            </w:r>
          </w:p>
          <w:p>
            <w:pPr>
              <w:pStyle w:val="Normal1"/>
              <w:shd w:val="clear" w:fill="FFFFFF"/>
              <w:spacing w:lineRule="auto" w:line="240" w:before="57" w:after="0"/>
              <w:ind w:right="-1"/>
              <w:jc w:val="center"/>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4"/>
                <w:sz w:val="24"/>
                <w:szCs w:val="24"/>
                <w:highlight w:val="white"/>
                <w:vertAlign w:val="baseline"/>
              </w:rPr>
              <w:t>__ h __ min do dia __/__/____</w:t>
            </w:r>
          </w:p>
          <w:p>
            <w:pPr>
              <w:pStyle w:val="Normal1"/>
              <w:shd w:val="clear" w:fill="FFFFFF"/>
              <w:spacing w:lineRule="auto" w:line="240" w:before="57" w:after="0"/>
              <w:ind w:right="-1"/>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Será sempre considerado o horário de Brasília (DF) para todas as indicações de tempo constantes neste edital.</w:t>
            </w:r>
          </w:p>
        </w:tc>
      </w:tr>
    </w:tbl>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2"/>
        <w:tblW w:w="9075" w:type="dxa"/>
        <w:jc w:val="left"/>
        <w:tblInd w:w="-55" w:type="dxa"/>
        <w:tblLayout w:type="fixed"/>
        <w:tblCellMar>
          <w:top w:w="0" w:type="dxa"/>
          <w:left w:w="108" w:type="dxa"/>
          <w:bottom w:w="0" w:type="dxa"/>
          <w:right w:w="108" w:type="dxa"/>
        </w:tblCellMar>
        <w:tblLook w:val="0000"/>
      </w:tblPr>
      <w:tblGrid>
        <w:gridCol w:w="9075"/>
      </w:tblGrid>
      <w:tr>
        <w:trPr>
          <w:trHeight w:val="1476" w:hRule="atLeast"/>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1 OBJETO:</w:t>
            </w:r>
          </w:p>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Contratação de empresa especializada para execução dos serviços de engenharia de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na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no endereço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município de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xxxxxx</w:t>
            </w:r>
            <w:r>
              <w:rPr>
                <w:rFonts w:eastAsia="Arial" w:cs="Arial" w:ascii="Arial" w:hAnsi="Arial"/>
                <w:b w:val="false"/>
                <w:i w:val="false"/>
                <w:caps w:val="false"/>
                <w:smallCaps w:val="false"/>
                <w:strike w:val="false"/>
                <w:dstrike w:val="false"/>
                <w:color w:val="000000"/>
                <w:position w:val="0"/>
                <w:sz w:val="20"/>
                <w:sz w:val="20"/>
                <w:szCs w:val="20"/>
                <w:vertAlign w:val="baseline"/>
              </w:rPr>
              <w:t>, Paraná, conforme planilha orçamentária de referência constante no Anexo XIII.</w:t>
            </w:r>
          </w:p>
        </w:tc>
      </w:tr>
    </w:tbl>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3"/>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2 VALOR MÁXIMO DA LICITAÇÃO:</w:t>
            </w:r>
          </w:p>
          <w:p>
            <w:pPr>
              <w:pStyle w:val="Normal1"/>
              <w:widowControl w:val="false"/>
              <w:shd w:val="clear" w:fill="FFFFFF"/>
              <w:tabs>
                <w:tab w:val="clear" w:pos="720"/>
                <w:tab w:val="left" w:pos="426" w:leader="none"/>
              </w:tabs>
              <w:spacing w:lineRule="auto" w:line="240" w:before="57" w:after="0"/>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preço máximo admitido para execução dos serviços é de R$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0.000.000,00 (xxx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reais), sendo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00,00%</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por cento) referente aos materiais 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00,00% (xxxxxx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por cento) referente à mão de obra.</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Não serão aceitas propostas com valor superior ao preço máximo admitida para a licitação.</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.1.1.1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2.1.2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BDI, que incidirá sobre o somatório dos custos totais de cada item de serviço, poderá ser apresentado à parte, com a proposta, sendo ali necessariamente detalhada sua composição.</w:t>
            </w:r>
          </w:p>
          <w:p>
            <w:pPr>
              <w:pStyle w:val="Normal1"/>
              <w:keepNext w:val="false"/>
              <w:keepLines w:val="false"/>
              <w:widowControl/>
              <w:shd w:val="clear" w:fill="FFFFFF"/>
              <w:spacing w:lineRule="auto" w:line="276" w:before="280" w:after="280"/>
              <w:ind w:hanging="0" w:left="0"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BDI Referencial utilizado para estabelecer o preço máximo é dado conforme Anexo XII.</w:t>
            </w:r>
          </w:p>
          <w:p>
            <w:pPr>
              <w:pStyle w:val="Normal1"/>
              <w:keepNext w:val="false"/>
              <w:keepLines w:val="false"/>
              <w:widowControl/>
              <w:shd w:val="clear" w:fill="FFFFFF"/>
              <w:spacing w:lineRule="auto" w:line="276" w:before="280" w:after="280"/>
              <w:ind w:hanging="0" w:left="0"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2.1.4</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licitante poderá compor sua taxa de BDI com base em fórmula apresentada no Anexo XI.</w:t>
            </w:r>
          </w:p>
          <w:p>
            <w:pPr>
              <w:pStyle w:val="Normal1"/>
              <w:keepNext w:val="false"/>
              <w:keepLines w:val="false"/>
              <w:widowControl/>
              <w:shd w:val="clear" w:fill="FFFFFF"/>
              <w:spacing w:lineRule="auto" w:line="276" w:before="280" w:after="280"/>
              <w:ind w:hanging="0" w:left="0"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2.1.5</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Caso o licitante não apresente a composição do BDI, conforme itens 2.1.3 e 2.1.4, considerar-se-á que adotou o BDI Referencial constante do Anexo XII deste Edital.</w:t>
            </w:r>
          </w:p>
          <w:p>
            <w:pPr>
              <w:pStyle w:val="Normal1"/>
              <w:keepNext w:val="false"/>
              <w:keepLines w:val="false"/>
              <w:widowControl/>
              <w:shd w:val="clear" w:fill="FFFFFF"/>
              <w:spacing w:lineRule="auto" w:line="276" w:before="280" w:after="280"/>
              <w:ind w:hanging="0" w:left="0" w:right="0"/>
              <w:jc w:val="left"/>
              <w:rPr>
                <w:rFonts w:ascii="Arial" w:hAnsi="Arial" w:eastAsia="Arial" w:cs="Arial"/>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2.1.6</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encargos sociais sobre os custos da mão de obra horistas utilizadas como referência são os constantes da Planilha do Anexo X.</w:t>
            </w:r>
          </w:p>
          <w:p>
            <w:pPr>
              <w:pStyle w:val="Normal1"/>
              <w:keepNext w:val="false"/>
              <w:keepLines w:val="false"/>
              <w:widowControl/>
              <w:shd w:val="clear" w:fill="FFFFFF"/>
              <w:spacing w:lineRule="auto" w:line="276" w:before="280" w:after="28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2.1.7</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Os Licitantes deverão obedecer ao critério de julgamento da proposta no sistema de compras eletrônicas adotado pela Administração estadual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que será o preço total da licitação, não ultrapassando o máximo fixado.</w:t>
            </w:r>
          </w:p>
        </w:tc>
      </w:tr>
    </w:tbl>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4"/>
        <w:tblW w:w="9092" w:type="dxa"/>
        <w:jc w:val="left"/>
        <w:tblInd w:w="-55" w:type="dxa"/>
        <w:tblLayout w:type="fixed"/>
        <w:tblCellMar>
          <w:top w:w="0" w:type="dxa"/>
          <w:left w:w="108" w:type="dxa"/>
          <w:bottom w:w="0" w:type="dxa"/>
          <w:right w:w="108" w:type="dxa"/>
        </w:tblCellMar>
        <w:tblLook w:val="0000"/>
      </w:tblPr>
      <w:tblGrid>
        <w:gridCol w:w="9092"/>
      </w:tblGrid>
      <w:tr>
        <w:trPr/>
        <w:tc>
          <w:tcPr>
            <w:tcW w:w="9092"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eastAsia="Arial" w:cs="Arial"/>
                <w:b/>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1</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shd w:val="clear" w:fill="FFFF00"/>
              <w:spacing w:lineRule="auto" w:line="240" w:before="57" w:after="57"/>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Se adotado o critério de julgamento de maior desconto a redação do item </w:t>
            </w:r>
            <w:r>
              <w:rPr>
                <w:rFonts w:eastAsia="Arial" w:cs="Arial" w:ascii="Arial" w:hAnsi="Arial"/>
                <w:b/>
                <w:i w:val="false"/>
                <w:caps w:val="false"/>
                <w:smallCaps w:val="false"/>
                <w:strike w:val="false"/>
                <w:dstrike w:val="false"/>
                <w:position w:val="0"/>
                <w:sz w:val="20"/>
                <w:sz w:val="20"/>
                <w:szCs w:val="20"/>
                <w:highlight w:val="yellow"/>
                <w:vertAlign w:val="baseline"/>
              </w:rPr>
              <w:t>2.1.1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e </w:t>
            </w:r>
            <w:r>
              <w:rPr>
                <w:rFonts w:eastAsia="Arial" w:cs="Arial" w:ascii="Arial" w:hAnsi="Arial"/>
                <w:b/>
                <w:i w:val="false"/>
                <w:caps w:val="false"/>
                <w:smallCaps w:val="false"/>
                <w:strike w:val="false"/>
                <w:dstrike w:val="false"/>
                <w:position w:val="0"/>
                <w:sz w:val="20"/>
                <w:sz w:val="20"/>
                <w:szCs w:val="20"/>
                <w:highlight w:val="yellow"/>
                <w:vertAlign w:val="baseline"/>
              </w:rPr>
              <w:t>2.1.1.1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deverá ser a seguinte:</w:t>
            </w:r>
          </w:p>
          <w:p>
            <w:pPr>
              <w:pStyle w:val="Normal1"/>
              <w:shd w:val="clear" w:fill="FFFF00"/>
              <w:spacing w:lineRule="auto" w:line="240" w:before="57" w:after="57"/>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valores que permanecerem acima (ou com lances negativos, no caso de critério de julgamento de maior desconto) do(s) valor(es) unitário(s) máximo(s) e total(is) máximo(s) fixado(s) neste Edital serão desclassificados”.</w:t>
            </w:r>
          </w:p>
          <w:p>
            <w:pPr>
              <w:pStyle w:val="Normal1"/>
              <w:shd w:val="clear" w:fill="FFFF00"/>
              <w:spacing w:lineRule="auto" w:line="240" w:before="57" w:after="57"/>
              <w:jc w:val="both"/>
              <w:rPr>
                <w:rFonts w:ascii="Arial" w:hAnsi="Arial" w:eastAsia="Arial" w:cs="Arial"/>
                <w:b/>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vertAlign w:val="baseline"/>
              </w:rPr>
              <w:t>2</w:t>
            </w:r>
            <w:r>
              <w:rPr>
                <w:rFonts w:eastAsia="Arial" w:cs="Arial" w:ascii="Arial" w:hAnsi="Arial"/>
                <w:b/>
                <w:i w:val="false"/>
                <w:caps w:val="false"/>
                <w:smallCaps w:val="false"/>
                <w:strike w:val="false"/>
                <w:dstrike w:val="false"/>
                <w:position w:val="0"/>
                <w:sz w:val="20"/>
                <w:sz w:val="20"/>
                <w:szCs w:val="20"/>
                <w:highlight w:val="yellow"/>
                <w:vertAlign w:val="baseline"/>
              </w:rPr>
              <w:t>.1.1.1.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Encerrada a fase de lances, após a negociação, as propostas que permanecerem acima (ou com lances negativos, no caso de critério de maior desconto) do(s) valor(es) unitário(s) máximo(s) e total(is) máximo(s) fixado(s) neste Edital serão desclassificadas.”</w:t>
            </w:r>
          </w:p>
          <w:p>
            <w:pPr>
              <w:pStyle w:val="Normal1"/>
              <w:shd w:val="clear" w:fill="FFFF00"/>
              <w:spacing w:lineRule="auto" w:line="240" w:before="57" w:after="57"/>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 xml:space="preserve">2.1.1.2.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 percentual de desconto a ser oferecido pelas licitantes incidirá automaticamente sobre o preço máximo estabelecido neste instrumento convocatório e representará desconto uniforme na forma linear sobre todos os itens da Planilha Orçamentária de Referência.</w:t>
            </w:r>
          </w:p>
          <w:p>
            <w:pPr>
              <w:pStyle w:val="Normal1"/>
              <w:shd w:val="clear" w:fill="FFFF00"/>
              <w:spacing w:lineRule="auto" w:line="240" w:before="57" w:after="57"/>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shd w:val="clear" w:fill="FFFFFF"/>
        <w:tabs>
          <w:tab w:val="clear" w:pos="720"/>
          <w:tab w:val="left" w:pos="284" w:leader="none"/>
        </w:tabs>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3 DOS RECURSOS ORÇAMENTÁRIOS:</w:t>
            </w:r>
          </w:p>
          <w:p>
            <w:pPr>
              <w:pStyle w:val="Normal1"/>
              <w:shd w:val="clear" w:fill="FFFFFF"/>
              <w:spacing w:lineRule="auto" w:line="240" w:before="0" w:after="57"/>
              <w:ind w:right="-30"/>
              <w:rPr>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3.1 As despesas decorrentes da presente contratação correrão à conta de recursos específicos consignados no Orçamento Geral do Estado deste exercício, na dotação abaixo discriminada:</w:t>
            </w:r>
          </w:p>
          <w:p>
            <w:pPr>
              <w:pStyle w:val="Normal1"/>
              <w:shd w:val="clear" w:fill="FFFFFF"/>
              <w:spacing w:lineRule="auto" w:line="240" w:before="0" w:after="57"/>
              <w:ind w:right="-3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Gestão/Unidade: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Fonte de Recursos: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Elemento de Despesa: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3.2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pagamentos referentes aos serviços executados e certificados serão efetuados pela (nome do órgão/entidade que efetuará o pagamento), em conformidade com o disposto no contrato</w:t>
            </w:r>
            <w:r>
              <w:rPr>
                <w:rFonts w:eastAsia="Arial" w:cs="Arial" w:ascii="Arial" w:hAnsi="Arial"/>
                <w:b w:val="false"/>
                <w:i w:val="false"/>
                <w:caps w:val="false"/>
                <w:smallCaps w:val="false"/>
                <w:strike w:val="false"/>
                <w:dstrike w:val="false"/>
                <w:position w:val="0"/>
                <w:sz w:val="20"/>
                <w:sz w:val="20"/>
                <w:szCs w:val="20"/>
                <w:vertAlign w:val="baseline"/>
              </w:rPr>
              <w:t xml:space="preserve"> (Anexo I).</w:t>
            </w:r>
          </w:p>
          <w:p>
            <w:pPr>
              <w:pStyle w:val="Normal1"/>
              <w:widowControl w:val="false"/>
              <w:shd w:val="clear" w:fill="FFFFFF"/>
              <w:tabs>
                <w:tab w:val="clear" w:pos="720"/>
                <w:tab w:val="left" w:pos="567" w:leader="none"/>
              </w:tabs>
              <w:spacing w:lineRule="auto" w:line="240" w:before="57" w:after="0"/>
              <w:jc w:val="both"/>
              <w:rPr>
                <w:position w:val="0"/>
                <w:sz w:val="22"/>
                <w:sz w:val="22"/>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3.3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 faturas correspondentes aos serviços a serem executados deverão ser emitidas pelo contratado em nome do órgão do órgão/entidade que efetuará o pagamento.</w:t>
            </w:r>
          </w:p>
        </w:tc>
      </w:tr>
    </w:tbl>
    <w:p>
      <w:pPr>
        <w:pStyle w:val="Normal1"/>
        <w:shd w:val="clear" w:fill="FFFFFF"/>
        <w:tabs>
          <w:tab w:val="clear" w:pos="720"/>
          <w:tab w:val="left" w:pos="28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shd w:val="clear" w:fill="FFFFFF"/>
              <w:spacing w:lineRule="auto" w:line="240" w:before="57" w:after="0"/>
              <w:ind w:right="57"/>
              <w:jc w:val="both"/>
              <w:rPr>
                <w:rFonts w:ascii="Arial" w:hAnsi="Arial" w:eastAsia="Arial" w:cs="Arial"/>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4 SISTEMA DO PREGÃO ELETRÔNICO:</w:t>
            </w:r>
          </w:p>
          <w:p>
            <w:pPr>
              <w:pStyle w:val="Normal1"/>
              <w:shd w:val="clear" w:fill="FFFFFF"/>
              <w:spacing w:lineRule="auto" w:line="240" w:before="0" w:after="0"/>
              <w:ind w:right="57"/>
              <w:jc w:val="both"/>
              <w:rPr>
                <w:rFonts w:ascii="Arial" w:hAnsi="Arial" w:eastAsia="Arial" w:cs="Arial"/>
                <w:color w:val="000000"/>
                <w:position w:val="0"/>
                <w:sz w:val="20"/>
                <w:sz w:val="20"/>
                <w:szCs w:val="20"/>
                <w:highlight w:val="whit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O pregão será realizado por meio do sistema eletrônico de licitações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endereço eletrônico para recebimento e abertura de propostas é o </w:t>
            </w:r>
            <w:hyperlink r:id="rId2">
              <w:r>
                <w:rPr>
                  <w:rStyle w:val="ListLabel109"/>
                  <w:rFonts w:eastAsia="Arial" w:cs="Arial" w:ascii="Arial" w:hAnsi="Arial"/>
                  <w:b w:val="false"/>
                  <w:i w:val="false"/>
                  <w:caps w:val="false"/>
                  <w:smallCaps w:val="false"/>
                  <w:strike w:val="false"/>
                  <w:dstrike w:val="false"/>
                  <w:color w:val="000080"/>
                  <w:position w:val="0"/>
                  <w:sz w:val="20"/>
                  <w:sz w:val="20"/>
                  <w:szCs w:val="20"/>
                  <w:highlight w:val="yellow"/>
                  <w:u w:val="single"/>
                  <w:vertAlign w:val="baseline"/>
                </w:rPr>
                <w:t>[</w:t>
              </w:r>
            </w:hyperlink>
            <w:r>
              <w:rPr>
                <w:rFonts w:eastAsia="Arial" w:cs="Arial" w:ascii="Arial" w:hAnsi="Arial"/>
                <w:b w:val="false"/>
                <w:i w:val="false"/>
                <w:caps w:val="false"/>
                <w:smallCaps w:val="false"/>
                <w:strike w:val="false"/>
                <w:dstrike w:val="false"/>
                <w:color w:val="000080"/>
                <w:position w:val="0"/>
                <w:sz w:val="20"/>
                <w:sz w:val="20"/>
                <w:szCs w:val="20"/>
                <w:highlight w:val="yellow"/>
                <w:u w:val="single"/>
                <w:vertAlign w:val="baseline"/>
              </w:rPr>
              <w:t>XXXXXXXXXX].</w:t>
            </w:r>
          </w:p>
          <w:p>
            <w:pPr>
              <w:pStyle w:val="Normal1"/>
              <w:shd w:val="clear" w:fill="FFFFFF"/>
              <w:spacing w:lineRule="auto" w:line="240" w:before="57" w:after="0"/>
              <w:ind w:right="57"/>
              <w:jc w:val="both"/>
              <w:rPr>
                <w:rFonts w:ascii="Arial" w:hAnsi="Arial" w:eastAsia="Arial" w:cs="Arial"/>
                <w:color w:val="000000"/>
                <w:position w:val="0"/>
                <w:sz w:val="20"/>
                <w:sz w:val="20"/>
                <w:szCs w:val="20"/>
                <w:highlight w:val="whit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O edital está disponível na </w:t>
            </w:r>
            <w:r>
              <w:rPr>
                <w:rFonts w:eastAsia="Arial" w:cs="Arial" w:ascii="Arial" w:hAnsi="Arial"/>
                <w:b w:val="false"/>
                <w:i/>
                <w:caps w:val="false"/>
                <w:smallCaps w:val="false"/>
                <w:strike w:val="false"/>
                <w:dstrike w:val="false"/>
                <w:color w:val="000000"/>
                <w:position w:val="0"/>
                <w:sz w:val="20"/>
                <w:sz w:val="20"/>
                <w:szCs w:val="20"/>
                <w:highlight w:val="white"/>
                <w:vertAlign w:val="baseline"/>
              </w:rPr>
              <w:t>internet</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nas páginas do Portal Nacional de Contratações Públicas </w:t>
            </w:r>
            <w:r>
              <w:rPr>
                <w:rFonts w:eastAsia="Arial" w:cs="Arial" w:ascii="Arial" w:hAnsi="Arial"/>
                <w:b w:val="false"/>
                <w:i w:val="false"/>
                <w:caps w:val="false"/>
                <w:smallCaps w:val="false"/>
                <w:strike w:val="false"/>
                <w:dstrike w:val="false"/>
                <w:color w:val="C9211E"/>
                <w:position w:val="0"/>
                <w:sz w:val="20"/>
                <w:sz w:val="20"/>
                <w:szCs w:val="20"/>
                <w:highlight w:val="yellow"/>
                <w:vertAlign w:val="baseline"/>
              </w:rPr>
              <w:t>https://pncp.gov.br/</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hyperlink r:id="rId3">
              <w:r>
                <w:rPr>
                  <w:rStyle w:val="ListLabel110"/>
                  <w:rFonts w:eastAsia="Arial" w:cs="Arial" w:ascii="Arial" w:hAnsi="Arial"/>
                  <w:b w:val="false"/>
                  <w:i w:val="false"/>
                  <w:caps w:val="false"/>
                  <w:smallCaps w:val="false"/>
                  <w:strike w:val="false"/>
                  <w:dstrike w:val="false"/>
                  <w:color w:val="000080"/>
                  <w:position w:val="0"/>
                  <w:sz w:val="20"/>
                  <w:sz w:val="20"/>
                  <w:szCs w:val="20"/>
                  <w:highlight w:val="white"/>
                  <w:u w:val="single"/>
                  <w:vertAlign w:val="baseline"/>
                </w:rPr>
                <w:t>www.comprasparana.pr.gov.br</w:t>
              </w:r>
            </w:hyperlink>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e </w:t>
            </w:r>
            <w:hyperlink r:id="rId4">
              <w:r>
                <w:rPr>
                  <w:rStyle w:val="ListLabel110"/>
                  <w:rFonts w:eastAsia="Arial" w:cs="Arial" w:ascii="Arial" w:hAnsi="Arial"/>
                  <w:b w:val="false"/>
                  <w:i w:val="false"/>
                  <w:caps w:val="false"/>
                  <w:smallCaps w:val="false"/>
                  <w:strike w:val="false"/>
                  <w:dstrike w:val="false"/>
                  <w:color w:val="000080"/>
                  <w:position w:val="0"/>
                  <w:sz w:val="20"/>
                  <w:sz w:val="20"/>
                  <w:szCs w:val="20"/>
                  <w:highlight w:val="white"/>
                  <w:u w:val="single"/>
                  <w:vertAlign w:val="baseline"/>
                </w:rPr>
                <w:t>www.licitacoes-e.com.br</w:t>
              </w:r>
            </w:hyperlink>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w:t>
            </w:r>
          </w:p>
          <w:p>
            <w:pPr>
              <w:pStyle w:val="Normal1"/>
              <w:shd w:val="clear" w:fill="FFFFFF"/>
              <w:spacing w:lineRule="auto" w:line="240" w:before="57" w:after="0"/>
              <w:jc w:val="both"/>
              <w:rPr>
                <w:rFonts w:ascii="Arial" w:hAnsi="Arial" w:eastAsia="Arial" w:cs="Arial"/>
                <w:position w:val="0"/>
                <w:sz w:val="22"/>
                <w:sz w:val="22"/>
                <w:highlight w:val="whit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Os trabalhos serão conduzidos pelo(a) pregoeiro(a)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nome do(a) pregoeiro(a)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e equipe 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apoio, designadas pela Resolução/Portaria n.º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XXXX/20XX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servidores(as) do(a)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1"/>
              <w:shd w:val="clear" w:fill="FFFFFF"/>
              <w:spacing w:lineRule="auto" w:line="240" w:before="57" w:after="0"/>
              <w:jc w:val="both"/>
              <w:rPr>
                <w:rFonts w:ascii="Arial" w:hAnsi="Arial" w:eastAsia="Arial" w:cs="Arial"/>
                <w:position w:val="0"/>
                <w:sz w:val="22"/>
                <w:sz w:val="22"/>
                <w:highlight w:val="white"/>
                <w:vertAlign w:val="baseline"/>
              </w:rPr>
            </w:pPr>
            <w:r>
              <w:rPr>
                <w:rFonts w:eastAsia="Arial" w:cs="Arial" w:ascii="Arial" w:hAnsi="Arial"/>
                <w:position w:val="0"/>
                <w:sz w:val="22"/>
                <w:sz w:val="22"/>
                <w:highlight w:val="white"/>
                <w:vertAlign w:val="baseline"/>
              </w:rPr>
            </w:r>
          </w:p>
          <w:p>
            <w:pPr>
              <w:pStyle w:val="Normal1"/>
              <w:numPr>
                <w:ilvl w:val="0"/>
                <w:numId w:val="4"/>
              </w:numPr>
              <w:shd w:val="clear" w:fill="FFFFFF"/>
              <w:tabs>
                <w:tab w:val="clear" w:pos="720"/>
                <w:tab w:val="left" w:pos="0" w:leader="none"/>
              </w:tabs>
              <w:spacing w:lineRule="auto" w:line="240" w:before="57" w:after="0"/>
              <w:ind w:hanging="0" w:left="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E-mail:</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w:t>
            </w:r>
          </w:p>
          <w:p>
            <w:pPr>
              <w:pStyle w:val="Normal1"/>
              <w:numPr>
                <w:ilvl w:val="0"/>
                <w:numId w:val="4"/>
              </w:numPr>
              <w:shd w:val="clear" w:fill="FFFFFF"/>
              <w:tabs>
                <w:tab w:val="clear" w:pos="720"/>
                <w:tab w:val="left" w:pos="0" w:leader="none"/>
              </w:tabs>
              <w:spacing w:lineRule="auto" w:line="240" w:before="57" w:after="0"/>
              <w:ind w:hanging="0" w:left="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Telefones: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 XXXX-XXXX</w:t>
            </w:r>
          </w:p>
          <w:p>
            <w:pPr>
              <w:pStyle w:val="Normal1"/>
              <w:numPr>
                <w:ilvl w:val="0"/>
                <w:numId w:val="4"/>
              </w:numPr>
              <w:shd w:val="clear" w:fill="FFFFFF"/>
              <w:tabs>
                <w:tab w:val="clear" w:pos="720"/>
                <w:tab w:val="left" w:pos="0" w:leader="none"/>
              </w:tabs>
              <w:spacing w:lineRule="auto" w:line="240" w:before="57" w:after="0"/>
              <w:ind w:hanging="0" w:left="0"/>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vertAlign w:val="baseline"/>
              </w:rPr>
              <w:t>Endereço:</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 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 CEP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Cidade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 Paraná</w:t>
            </w:r>
          </w:p>
          <w:p>
            <w:pPr>
              <w:pStyle w:val="Normal1"/>
              <w:numPr>
                <w:ilvl w:val="0"/>
                <w:numId w:val="4"/>
              </w:numPr>
              <w:shd w:val="clear" w:fill="FFFFFF"/>
              <w:tabs>
                <w:tab w:val="clear" w:pos="720"/>
                <w:tab w:val="left" w:pos="0" w:leader="none"/>
              </w:tabs>
              <w:spacing w:lineRule="auto" w:line="240" w:before="57" w:after="0"/>
              <w:ind w:hanging="0" w:left="0"/>
              <w:jc w:val="both"/>
              <w:rPr>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O atendimento será feito no horário das 8h30min às 12 h e das 13h30min às 18 h.</w:t>
            </w:r>
          </w:p>
        </w:tc>
      </w:tr>
    </w:tbl>
    <w:p>
      <w:pPr>
        <w:pStyle w:val="Normal1"/>
        <w:shd w:val="clear" w:fill="FFFFFF"/>
        <w:spacing w:lineRule="auto" w:line="240" w:before="57" w:after="0"/>
        <w:ind w:right="57"/>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7"/>
        <w:tblW w:w="9013" w:type="dxa"/>
        <w:jc w:val="left"/>
        <w:tblInd w:w="-55" w:type="dxa"/>
        <w:tblLayout w:type="fixed"/>
        <w:tblCellMar>
          <w:top w:w="0" w:type="dxa"/>
          <w:left w:w="108" w:type="dxa"/>
          <w:bottom w:w="0" w:type="dxa"/>
          <w:right w:w="108" w:type="dxa"/>
        </w:tblCellMar>
        <w:tblLook w:val="0000"/>
      </w:tblPr>
      <w:tblGrid>
        <w:gridCol w:w="9013"/>
      </w:tblGrid>
      <w:tr>
        <w:trPr/>
        <w:tc>
          <w:tcPr>
            <w:tcW w:w="9013" w:type="dxa"/>
            <w:tcBorders>
              <w:top w:val="single" w:sz="4" w:space="0" w:color="000000"/>
              <w:left w:val="single" w:sz="4" w:space="0" w:color="000000"/>
              <w:bottom w:val="single" w:sz="4" w:space="0" w:color="000000"/>
              <w:right w:val="single" w:sz="4" w:space="0" w:color="000000"/>
            </w:tcBorders>
            <w:shd w:fill="auto" w:val="clear"/>
          </w:tcPr>
          <w:p>
            <w:pPr>
              <w:pStyle w:val="Normal1"/>
              <w:shd w:val="clear" w:fill="FFFF00"/>
              <w:spacing w:lineRule="auto" w:line="240" w:before="0" w:after="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w:t>
            </w:r>
          </w:p>
          <w:p>
            <w:pPr>
              <w:pStyle w:val="Normal1"/>
              <w:shd w:val="clear" w:fill="FFFF00"/>
              <w:spacing w:lineRule="auto" w:line="240" w:before="0" w:after="0"/>
              <w:jc w:val="both"/>
              <w:rPr>
                <w:rFonts w:ascii="Arial" w:hAnsi="Arial" w:eastAsia="Arial" w:cs="Arial"/>
                <w:b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s são meramente orientativas. Portanto, devem ser excluídas do edital a ser publicado)</w:t>
            </w:r>
          </w:p>
          <w:p>
            <w:pPr>
              <w:pStyle w:val="Normal1"/>
              <w:shd w:val="clear" w:fill="FFFF00"/>
              <w:spacing w:lineRule="auto" w:line="240" w:before="0" w:after="0"/>
              <w:jc w:val="both"/>
              <w:rPr>
                <w:rFonts w:ascii="Arial" w:hAnsi="Arial" w:eastAsia="Arial" w:cs="Arial"/>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 sistema eletrônico poderá ser alterado pelo Órgão/Entidade Estadual.</w:t>
            </w:r>
          </w:p>
          <w:p>
            <w:pPr>
              <w:pStyle w:val="Normal1"/>
              <w:widowControl/>
              <w:shd w:val="clear" w:fill="FFFF00"/>
              <w:spacing w:lineRule="auto" w:line="240" w:before="0" w:after="200"/>
              <w:rPr>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Assim, o endereço eletrônico para recebimento e abertura de propostas </w:t>
            </w:r>
            <w:hyperlink r:id="rId5">
              <w:r>
                <w:rPr>
                  <w:rStyle w:val="ListLabel111"/>
                  <w:rFonts w:eastAsia="Arial" w:cs="Arial" w:ascii="Arial" w:hAnsi="Arial"/>
                  <w:b w:val="false"/>
                  <w:i w:val="false"/>
                  <w:caps w:val="false"/>
                  <w:smallCaps w:val="false"/>
                  <w:strike w:val="false"/>
                  <w:dstrike w:val="false"/>
                  <w:color w:val="000080"/>
                  <w:position w:val="0"/>
                  <w:sz w:val="20"/>
                  <w:sz w:val="20"/>
                  <w:szCs w:val="20"/>
                  <w:u w:val="single"/>
                  <w:vertAlign w:val="baseline"/>
                </w:rPr>
                <w:t>[</w:t>
              </w:r>
            </w:hyperlink>
            <w:r>
              <w:rPr>
                <w:rFonts w:eastAsia="Arial" w:cs="Arial" w:ascii="Arial" w:hAnsi="Arial"/>
                <w:b w:val="false"/>
                <w:i w:val="false"/>
                <w:caps w:val="false"/>
                <w:smallCaps w:val="false"/>
                <w:strike w:val="false"/>
                <w:dstrike w:val="false"/>
                <w:color w:val="000080"/>
                <w:position w:val="0"/>
                <w:sz w:val="20"/>
                <w:sz w:val="20"/>
                <w:szCs w:val="20"/>
                <w:u w:val="single"/>
                <w:vertAlign w:val="baseline"/>
              </w:rPr>
              <w:t>XXXXXXXXXX]</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pode ser adequado de acordo com o sistema adotado pelo Órgão/Entidade Estadual.</w:t>
            </w:r>
          </w:p>
        </w:tc>
      </w:tr>
    </w:tbl>
    <w:p>
      <w:pPr>
        <w:pStyle w:val="Normal1"/>
        <w:shd w:val="clear" w:fill="FFFFFF"/>
        <w:spacing w:lineRule="auto" w:line="240" w:before="57" w:after="0"/>
        <w:ind w:right="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 ESCLARECIMENTOS, IMPUGNAÇÕES E RECURSOS:</w:t>
            </w:r>
          </w:p>
          <w:p>
            <w:pPr>
              <w:pStyle w:val="Normal1"/>
              <w:shd w:val="clear" w:fill="FFFFFF"/>
              <w:spacing w:lineRule="auto" w:line="240" w:before="0" w:after="0"/>
              <w:jc w:val="both"/>
              <w:rPr>
                <w:rFonts w:ascii="Arial" w:hAnsi="Arial" w:eastAsia="Arial" w:cs="Arial"/>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5.1 ESCLARECIMENTOS E IMPUGNAÇÕES:</w:t>
            </w:r>
          </w:p>
          <w:p>
            <w:pPr>
              <w:pStyle w:val="Normal1"/>
              <w:shd w:val="clear" w:fill="FFFFFF"/>
              <w:spacing w:lineRule="auto" w:line="240" w:before="0" w:after="0"/>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Qualquer pessoa é parte legítima para impugnar edital de licitação por irregularidade na aplicação da Lei Federal n.º 14.133, de 2021 e do Decreto n.º 10.086, de 2022, ou para solicitar esclarecimentos e providências sobre os seus termos, devendo protocolar o pedido, no prazo de até 3 (três) dias úteis antes da data de abertura do certame, em campo específico no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sítio eletrônico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pelo qual serão respondidos os esclarecimentos solicitados, no prazo de até 3 (três) dias úteis, limitado ao último dia útil anterior à data da abertura do certame.</w:t>
            </w:r>
          </w:p>
          <w:p>
            <w:pPr>
              <w:pStyle w:val="Normal1"/>
              <w:shd w:val="clear" w:fill="FFFFFF"/>
              <w:spacing w:lineRule="auto" w:line="240" w:before="0" w:after="0"/>
              <w:ind w:hanging="27" w:left="55" w:right="0"/>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FF"/>
              <w:spacing w:lineRule="auto" w:line="240" w:before="0" w:after="0"/>
              <w:ind w:hanging="27" w:left="55" w:right="0"/>
              <w:jc w:val="both"/>
              <w:rPr>
                <w:rFonts w:ascii="Arial" w:hAnsi="Arial" w:eastAsia="Arial" w:cs="Arial"/>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5.2 RECURSOS E CONTRARRAZÕES:</w:t>
            </w:r>
          </w:p>
          <w:p>
            <w:pPr>
              <w:pStyle w:val="Normal1"/>
              <w:shd w:val="clear" w:fill="FFFFFF"/>
              <w:spacing w:lineRule="auto" w:line="240" w:before="0" w:after="0"/>
              <w:ind w:hanging="27" w:left="55" w:right="0"/>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As razões de recurso e as contrarrazões poderão ser enviadas exclusivamente por meio eletrônico, observando as regras dispostas no</w:t>
            </w:r>
            <w:r>
              <w:rPr>
                <w:rFonts w:eastAsia="Arial" w:cs="Arial" w:ascii="Arial" w:hAnsi="Arial"/>
                <w:b w:val="false"/>
                <w:i w:val="false"/>
                <w:caps w:val="false"/>
                <w:smallCaps w:val="false"/>
                <w:strike w:val="false"/>
                <w:dstrike w:val="false"/>
                <w:position w:val="0"/>
                <w:sz w:val="20"/>
                <w:sz w:val="20"/>
                <w:szCs w:val="20"/>
                <w:vertAlign w:val="baseline"/>
              </w:rPr>
              <w:t xml:space="preserve"> item 9 das Condições Gerais de</w:t>
            </w:r>
            <w:r>
              <w:rPr>
                <w:rFonts w:eastAsia="Arial" w:cs="Arial" w:ascii="Arial" w:hAnsi="Arial"/>
                <w:b w:val="false"/>
                <w:i w:val="false"/>
                <w:caps w:val="false"/>
                <w:smallCaps w:val="false"/>
                <w:strike w:val="false"/>
                <w:dstrike w:val="false"/>
                <w:color w:val="000000"/>
                <w:position w:val="0"/>
                <w:sz w:val="20"/>
                <w:sz w:val="20"/>
                <w:szCs w:val="20"/>
                <w:vertAlign w:val="baseline"/>
              </w:rPr>
              <w:t>ste Edital;</w:t>
            </w:r>
          </w:p>
          <w:p>
            <w:pPr>
              <w:pStyle w:val="Normal1"/>
              <w:shd w:val="clear" w:fill="FFFFFF"/>
              <w:spacing w:lineRule="auto" w:line="240" w:before="0" w:after="0"/>
              <w:ind w:hanging="27" w:left="55" w:right="0"/>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FF"/>
              <w:spacing w:lineRule="auto" w:line="240" w:before="0" w:after="0"/>
              <w:ind w:hanging="27" w:left="55" w:right="0"/>
              <w:jc w:val="both"/>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5.3 DISPONIBILIDADE DOS AUTOS:</w:t>
            </w:r>
          </w:p>
          <w:p>
            <w:pPr>
              <w:pStyle w:val="Normal1"/>
              <w:shd w:val="clear" w:fill="FFFFFF"/>
              <w:spacing w:lineRule="auto" w:line="240" w:before="0"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No curso da licitação, os autos do processo licitatório estarão à disposição dos interessados no sistema E-Protocolo no site </w:t>
            </w:r>
            <w:hyperlink r:id="rId6">
              <w:r>
                <w:rPr>
                  <w:rStyle w:val="ListLabel111"/>
                  <w:rFonts w:eastAsia="Arial" w:cs="Arial" w:ascii="Arial" w:hAnsi="Arial"/>
                  <w:b w:val="false"/>
                  <w:i w:val="false"/>
                  <w:caps w:val="false"/>
                  <w:smallCaps w:val="false"/>
                  <w:strike w:val="false"/>
                  <w:dstrike w:val="false"/>
                  <w:color w:val="000080"/>
                  <w:position w:val="0"/>
                  <w:sz w:val="20"/>
                  <w:sz w:val="20"/>
                  <w:szCs w:val="20"/>
                  <w:u w:val="single"/>
                  <w:vertAlign w:val="baseline"/>
                </w:rPr>
                <w:t>https://www.e-protocolo.pr.gov.br</w:t>
              </w:r>
            </w:hyperlink>
            <w:r>
              <w:rPr>
                <w:rFonts w:eastAsia="Arial" w:cs="Arial" w:ascii="Arial" w:hAnsi="Arial"/>
                <w:b w:val="false"/>
                <w:i w:val="false"/>
                <w:caps w:val="false"/>
                <w:smallCaps w:val="false"/>
                <w:strike w:val="false"/>
                <w:dstrike w:val="false"/>
                <w:position w:val="0"/>
                <w:sz w:val="20"/>
                <w:sz w:val="20"/>
                <w:szCs w:val="20"/>
                <w:vertAlign w:val="baseline"/>
              </w:rPr>
              <w:t>, devendo os interessados apresentarem requisição de acesso ao protocolo via sistema.</w:t>
            </w:r>
          </w:p>
        </w:tc>
      </w:tr>
    </w:tbl>
    <w:p>
      <w:pPr>
        <w:pStyle w:val="Normal1"/>
        <w:shd w:val="clear" w:fill="FFFFFF"/>
        <w:tabs>
          <w:tab w:val="clear" w:pos="720"/>
          <w:tab w:val="left" w:pos="284" w:leader="none"/>
        </w:tabs>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9"/>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6 CONDIÇÕES DA LICITAÇÃO:</w:t>
            </w:r>
          </w:p>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licitação e a contratação dela decorrente são reguladas pelas condições específicas e gerais do pregão e pelo disposto nos demais anexos do edital.</w:t>
            </w:r>
          </w:p>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licitação será regida pela Lei Federal n.º 14.133, de 2021</w:t>
            </w:r>
            <w:r>
              <w:rPr>
                <w:rFonts w:eastAsia="Arial" w:cs="Arial" w:ascii="Arial" w:hAnsi="Arial"/>
                <w:b w:val="false"/>
                <w:i w:val="false"/>
                <w:caps w:val="false"/>
                <w:smallCaps w:val="false"/>
                <w:strike w:val="false"/>
                <w:dstrike w:val="false"/>
                <w:position w:val="0"/>
                <w:sz w:val="20"/>
                <w:sz w:val="20"/>
                <w:szCs w:val="20"/>
                <w:vertAlign w:val="baseline"/>
              </w:rPr>
              <w:t xml:space="preserve">, pelo Decreto nº 10.086, de 2022, pela Lei Complementar Federal nº 123, de 2006, </w:t>
            </w:r>
            <w:r>
              <w:rPr>
                <w:rFonts w:eastAsia="Arial" w:cs="Arial" w:ascii="Arial" w:hAnsi="Arial"/>
                <w:b w:val="false"/>
                <w:i w:val="false"/>
                <w:caps w:val="false"/>
                <w:smallCaps w:val="false"/>
                <w:strike w:val="false"/>
                <w:dstrike w:val="false"/>
                <w:position w:val="0"/>
                <w:sz w:val="20"/>
                <w:sz w:val="20"/>
                <w:szCs w:val="20"/>
                <w:highlight w:val="white"/>
                <w:vertAlign w:val="baseline"/>
              </w:rPr>
              <w:t>demais leis estaduais e federais e decretos pertinentes ao objeto da licitação, bem como as suas devidas alterações.</w:t>
            </w:r>
          </w:p>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shd w:val="clear" w:fill="FFFFFF"/>
        <w:spacing w:lineRule="auto" w:line="240" w:before="57" w:after="0"/>
        <w:ind w:right="-1"/>
        <w:jc w:val="center"/>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10"/>
        <w:tblW w:w="9021" w:type="dxa"/>
        <w:jc w:val="left"/>
        <w:tblInd w:w="-55" w:type="dxa"/>
        <w:tblLayout w:type="fixed"/>
        <w:tblCellMar>
          <w:top w:w="0" w:type="dxa"/>
          <w:left w:w="108" w:type="dxa"/>
          <w:bottom w:w="0" w:type="dxa"/>
          <w:right w:w="108" w:type="dxa"/>
        </w:tblCellMar>
        <w:tblLook w:val="0000"/>
      </w:tblPr>
      <w:tblGrid>
        <w:gridCol w:w="9021"/>
      </w:tblGrid>
      <w:tr>
        <w:trPr/>
        <w:tc>
          <w:tcPr>
            <w:tcW w:w="902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eastAsia="Arial" w:cs="Arial"/>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57" w:after="57"/>
              <w:rPr>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É expressamente vedada a aplicação combinada da Lei Federal n.º 14.133/2021 com as citadas no inciso II do Caput do art. 193 da Lei Federal n.º 14.133/2021 (a Lei nº 8.666, de 21 de junho de 1993, a Lei nº 10.520, de 17 de julho de 2002, e os arts. 1º a 47-A da Lei nº 12.462, de 4 de agosto de 2011) e com a Lei n.º 15.608/2007.</w:t>
            </w:r>
          </w:p>
        </w:tc>
      </w:tr>
    </w:tbl>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7 DOCUMENTOS INSTRUTORES DA LICITAÇÃO</w:t>
            </w:r>
          </w:p>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7.</w:t>
            </w:r>
            <w:r>
              <w:rPr>
                <w:rFonts w:eastAsia="Arial" w:cs="Arial" w:ascii="Arial" w:hAnsi="Arial"/>
                <w:b w:val="false"/>
                <w:i w:val="false"/>
                <w:caps w:val="false"/>
                <w:smallCaps w:val="false"/>
                <w:strike w:val="false"/>
                <w:dstrike w:val="false"/>
                <w:position w:val="0"/>
                <w:sz w:val="20"/>
                <w:sz w:val="20"/>
                <w:szCs w:val="20"/>
                <w:vertAlign w:val="baseline"/>
              </w:rPr>
              <w:t>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documentos que instruem esta licitação são os seguintes:</w:t>
            </w:r>
          </w:p>
          <w:p>
            <w:pPr>
              <w:pStyle w:val="Normal1"/>
              <w:widowControl w:val="false"/>
              <w:shd w:val="clear" w:fill="FFFFFF"/>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7.1.1. Edital;</w:t>
            </w:r>
          </w:p>
          <w:p>
            <w:pPr>
              <w:pStyle w:val="Normal1"/>
              <w:widowControl w:val="false"/>
              <w:shd w:val="clear" w:fill="FFFFFF"/>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7.1.2 Anexos;</w:t>
            </w:r>
          </w:p>
          <w:p>
            <w:pPr>
              <w:pStyle w:val="Normal1"/>
              <w:widowControl w:val="false"/>
              <w:shd w:val="clear" w:fill="FFFFFF"/>
              <w:tabs>
                <w:tab w:val="clear" w:pos="720"/>
                <w:tab w:val="left" w:pos="1106" w:leader="none"/>
              </w:tabs>
              <w:spacing w:lineRule="auto" w:line="240" w:before="57" w:after="0"/>
              <w:ind w:hanging="0" w:left="397" w:right="0"/>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7.1.3 Elementos Técnicos Instrutores.</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7.2 Para esta licitação serão usadas as seguintes siglas:</w:t>
            </w:r>
          </w:p>
          <w:tbl>
            <w:tblPr>
              <w:tblStyle w:val="Table12"/>
              <w:tblW w:w="9377" w:type="dxa"/>
              <w:jc w:val="left"/>
              <w:tblInd w:w="0" w:type="dxa"/>
              <w:tblLayout w:type="fixed"/>
              <w:tblCellMar>
                <w:top w:w="0" w:type="dxa"/>
                <w:left w:w="108" w:type="dxa"/>
                <w:bottom w:w="0" w:type="dxa"/>
                <w:right w:w="108" w:type="dxa"/>
              </w:tblCellMar>
              <w:tblLook w:val="0000"/>
            </w:tblPr>
            <w:tblGrid>
              <w:gridCol w:w="2001"/>
              <w:gridCol w:w="7375"/>
            </w:tblGrid>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yellow"/>
                      <w:vertAlign w:val="baseline"/>
                    </w:rPr>
                    <w:t>XXX</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yellow"/>
                      <w:vertAlign w:val="baseline"/>
                    </w:rPr>
                    <w:t>Nome do órgão ou entidade demandante do serviço de engenharia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PRED</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Paraná Edificações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ABNT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Associação Brasileira de Normas Técnicas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ART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Anotação de Responsabilidade Técnica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de Acervo Técnico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CAU</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Conselho de Arquitetura e Urbanismo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CLE</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Cadastro de Licitantes do Estado (do Paraná)</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CLT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Consolidação das Leis do Trabalho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CND</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Negativa de Débito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CNPJ</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Cadastro Nacional de Pessoa Jurídica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COFINS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Contribuição para Financiamento da Seguridade Social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CONAMA</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Conselho Nacional do Meio Ambiente</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CONFEA</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Conselho Federal de Engenharia e Agronomia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Cadastro de Pessoa Física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CRC</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Conselho Regional de Contabilidade</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CREA</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Conselho Regional de Engenharia e Agronomia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CRF</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Certificado de Regularidade do FGTS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CSSL</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Contribuição Social sobre o Lucro Líquido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DECON</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Departamento de Logística para Contratações Públicas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DRT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Delegacia Regional do Trabalho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EPP</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Empresa de Pequeno Porte</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FGTS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Fundo de Garantia por Tempo de Serviço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FGV</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Fundação Getúlio Vargas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GCO</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Gerência de Custo e Orçamentos da Paraná Edificações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GFIP</w:t>
                  </w:r>
                </w:p>
              </w:tc>
              <w:tc>
                <w:tcPr>
                  <w:tcW w:w="7375" w:type="dxa"/>
                  <w:tcBorders/>
                  <w:shd w:fill="auto" w:val="clear"/>
                </w:tcPr>
                <w:p>
                  <w:pPr>
                    <w:pStyle w:val="Normal1"/>
                    <w:widowControl w:val="false"/>
                    <w:shd w:val="clear" w:fill="FFFFFF"/>
                    <w:spacing w:lineRule="auto" w:line="240" w:before="57" w:after="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Guia de FGTS e Informações à Previdência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GFS</w:t>
                  </w:r>
                </w:p>
              </w:tc>
              <w:tc>
                <w:tcPr>
                  <w:tcW w:w="7375" w:type="dxa"/>
                  <w:tcBorders/>
                  <w:shd w:fill="auto" w:val="clear"/>
                </w:tcPr>
                <w:p>
                  <w:pPr>
                    <w:pStyle w:val="Normal1"/>
                    <w:widowControl w:val="false"/>
                    <w:shd w:val="clear" w:fill="FFFFFF"/>
                    <w:spacing w:lineRule="auto" w:line="240" w:before="57" w:after="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Grupo Financeiro Setorial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GLCC</w:t>
                  </w:r>
                </w:p>
              </w:tc>
              <w:tc>
                <w:tcPr>
                  <w:tcW w:w="7375" w:type="dxa"/>
                  <w:tcBorders/>
                  <w:shd w:fill="auto" w:val="clear"/>
                </w:tcPr>
                <w:p>
                  <w:pPr>
                    <w:pStyle w:val="Normal1"/>
                    <w:widowControl w:val="false"/>
                    <w:shd w:val="clear" w:fill="FFFFFF"/>
                    <w:spacing w:lineRule="auto" w:line="240" w:before="57" w:after="0"/>
                    <w:rPr>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Gerência de Licitações, Contratos e Convênios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GMS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Gestão de Materiais e Serviços (SEAP DEAM)</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GPR</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Gerência de Projetos da Paraná Edificações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GRC</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Guia de Recolhimento de Caução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GRPS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Guia de Recolhimento da Previdência Social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INSS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Instituto Nacional de Seguridade Social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IRB</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Instituto de Resseguros do Brasil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ISS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Imposto sobre Serviços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ME</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Microempresa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Ordem de Serviço</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PIS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Programa de Integração Social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PNCP</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Portal Nacional de Contratações Públicas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PTG</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Protocolo Geral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REFIS</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Programa de Recuperação Fiscal</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RRT</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Registro de Responsabilidade Técnica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SEAP</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Secretaria da Administração e da Previdência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SEIL</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Secretaria de Infraestrutura e Logística</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SUSEP</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Superintendência de Seguros Privados</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TCE PR</w:t>
                  </w:r>
                </w:p>
              </w:tc>
              <w:tc>
                <w:tcPr>
                  <w:tcW w:w="7375" w:type="dxa"/>
                  <w:tcBorders/>
                  <w:shd w:fill="auto" w:val="clear"/>
                </w:tcPr>
                <w:p>
                  <w:pPr>
                    <w:pStyle w:val="Normal1"/>
                    <w:widowControl w:val="false"/>
                    <w:shd w:val="clear" w:fill="FFFFFF"/>
                    <w:spacing w:lineRule="auto" w:line="240" w:before="57" w:after="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Tribunal de Contas do Estado do Paraná</w:t>
                  </w:r>
                </w:p>
              </w:tc>
            </w:tr>
            <w:tr>
              <w:trPr/>
              <w:tc>
                <w:tcPr>
                  <w:tcW w:w="2001"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yellow"/>
                      <w:vertAlign w:val="baseline"/>
                    </w:rPr>
                    <w:t>Outras</w:t>
                  </w:r>
                </w:p>
              </w:tc>
              <w:tc>
                <w:tcPr>
                  <w:tcW w:w="7375" w:type="dxa"/>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68" w:hRule="atLeast"/>
                <w:cantSplit w:val="true"/>
              </w:trPr>
              <w:tc>
                <w:tcPr>
                  <w:tcW w:w="9376" w:type="dxa"/>
                  <w:gridSpan w:val="2"/>
                  <w:tcBorders/>
                  <w:shd w:fill="auto" w:val="clear"/>
                </w:tcPr>
                <w:p>
                  <w:pPr>
                    <w:pStyle w:val="Normal1"/>
                    <w:widowControl w:val="false"/>
                    <w:shd w:val="clear" w:fill="FFFFFF"/>
                    <w:tabs>
                      <w:tab w:val="clear" w:pos="720"/>
                      <w:tab w:val="left" w:pos="1134" w:leader="none"/>
                    </w:tabs>
                    <w:spacing w:lineRule="auto" w:line="240" w:before="57" w:after="0"/>
                    <w:ind w:hanging="0" w:left="56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702" w:leader="none"/>
              </w:tabs>
              <w:spacing w:lineRule="auto" w:line="240" w:before="57" w:after="0"/>
              <w:ind w:hanging="0" w:left="135"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7.3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Definições:</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position w:val="0"/>
                <w:sz w:val="22"/>
                <w:sz w:val="22"/>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7.3.1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esta licitação serão usadas as definições contidas no art. 6.º da Lei Federal n.º 14.133/2021 e no art. 2.º do Decreto Estadual n.º 10.086/2022.</w:t>
            </w:r>
          </w:p>
          <w:p>
            <w:pPr>
              <w:pStyle w:val="Normal1"/>
              <w:widowControl w:val="false"/>
              <w:shd w:val="clear" w:fill="FFFFFF"/>
              <w:tabs>
                <w:tab w:val="clear" w:pos="720"/>
                <w:tab w:val="left" w:pos="851" w:leader="none"/>
              </w:tabs>
              <w:spacing w:lineRule="auto" w:line="240" w:before="57" w:after="0"/>
              <w:jc w:val="both"/>
              <w:rPr>
                <w:rFonts w:ascii="Arial" w:hAnsi="Arial" w:eastAsia="Arial" w:cs="Arial"/>
                <w:position w:val="0"/>
                <w:sz w:val="22"/>
                <w:sz w:val="22"/>
                <w:highlight w:val="white"/>
                <w:vertAlign w:val="baseline"/>
              </w:rPr>
            </w:pPr>
            <w:r>
              <w:rPr>
                <w:rFonts w:eastAsia="Arial" w:cs="Arial" w:ascii="Arial" w:hAnsi="Arial"/>
                <w:position w:val="0"/>
                <w:sz w:val="22"/>
                <w:sz w:val="22"/>
                <w:highlight w:val="white"/>
                <w:vertAlign w:val="baseline"/>
              </w:rPr>
            </w:r>
          </w:p>
        </w:tc>
      </w:tr>
    </w:tbl>
    <w:p>
      <w:pPr>
        <w:pStyle w:val="Normal1"/>
        <w:shd w:val="clear" w:fill="FFFFFF"/>
        <w:spacing w:lineRule="auto" w:line="240" w:before="57" w:after="0"/>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r>
        <w:br w:type="page"/>
      </w:r>
    </w:p>
    <w:p>
      <w:pPr>
        <w:pStyle w:val="Normal1"/>
        <w:shd w:val="clear" w:fill="FFFFFF"/>
        <w:spacing w:lineRule="auto" w:line="240" w:before="0" w:after="0"/>
        <w:ind w:right="-1"/>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spacing w:lineRule="auto" w:line="240" w:before="57" w:after="0"/>
        <w:ind w:right="-1"/>
        <w:jc w:val="center"/>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4"/>
          <w:sz w:val="24"/>
          <w:szCs w:val="24"/>
          <w:highlight w:val="white"/>
          <w:u w:val="single"/>
          <w:vertAlign w:val="baseline"/>
        </w:rPr>
        <w:t>CONDIÇÕES ESPECÍFICAS DO PREGÃO</w:t>
      </w:r>
    </w:p>
    <w:p>
      <w:pPr>
        <w:pStyle w:val="Normal1"/>
        <w:shd w:val="clear" w:fill="FFFFFF"/>
        <w:spacing w:lineRule="auto" w:line="240" w:before="57" w:after="0"/>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3"/>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1 CRITÉRIO DE ACEITABILIDADE DE PREÇOS: PREÇO MÁXIMO</w:t>
            </w:r>
          </w:p>
          <w:p>
            <w:pPr>
              <w:pStyle w:val="Normal1"/>
              <w:shd w:val="clear" w:fill="FFFFFF"/>
              <w:spacing w:lineRule="auto" w:line="240" w:before="0"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FF"/>
              <w:spacing w:lineRule="auto" w:line="240" w:before="57" w:after="0"/>
              <w:ind w:right="-1"/>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Encerrada a fase de lances, após a negociação, serão desclassificadas as propostas que permanecerem acima dos valores unitários máximos e totais máximos fixados neste Edital.</w:t>
            </w:r>
          </w:p>
        </w:tc>
      </w:tr>
    </w:tbl>
    <w:p>
      <w:pPr>
        <w:pStyle w:val="Normal1"/>
        <w:shd w:val="clear" w:fill="FFFFFF"/>
        <w:spacing w:lineRule="auto" w:line="240" w:before="57" w:after="0"/>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spacing w:lineRule="auto" w:line="240" w:before="57" w:after="0"/>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4"/>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2 CRITÉRIO DE JULGAMENTO DAS PROPOSTAS:</w:t>
            </w:r>
          </w:p>
          <w:tbl>
            <w:tblPr>
              <w:tblStyle w:val="Table15"/>
              <w:tblW w:w="8784" w:type="dxa"/>
              <w:jc w:val="left"/>
              <w:tblInd w:w="0" w:type="dxa"/>
              <w:tblLayout w:type="fixed"/>
              <w:tblCellMar>
                <w:top w:w="0" w:type="dxa"/>
                <w:left w:w="108" w:type="dxa"/>
                <w:bottom w:w="0" w:type="dxa"/>
                <w:right w:w="108" w:type="dxa"/>
              </w:tblCellMar>
              <w:tblLook w:val="0000"/>
            </w:tblPr>
            <w:tblGrid>
              <w:gridCol w:w="8784"/>
            </w:tblGrid>
            <w:tr>
              <w:trPr/>
              <w:tc>
                <w:tcPr>
                  <w:tcW w:w="8784" w:type="dxa"/>
                  <w:tcBorders>
                    <w:top w:val="single" w:sz="8" w:space="0" w:color="000000"/>
                    <w:left w:val="single" w:sz="8" w:space="0" w:color="000000"/>
                    <w:bottom w:val="single" w:sz="8" w:space="0" w:color="000000"/>
                    <w:right w:val="single" w:sz="8" w:space="0" w:color="000000"/>
                  </w:tcBorders>
                  <w:shd w:fill="FFFF00" w:val="clear"/>
                </w:tcPr>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Obs. 1 A Administração deverá adotar uma das formas de critério de aceitabilidade de preços e julgamento de propostas a seguir:</w:t>
                  </w:r>
                </w:p>
                <w:p>
                  <w:pPr>
                    <w:pStyle w:val="Normal1"/>
                    <w:shd w:val="clear" w:fill="FFFF00"/>
                    <w:ind w:right="-1"/>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A Administração deverá adequar a redação de acordo com o critério escolhido.</w:t>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2 Quando o lote for composto por item único:</w:t>
                  </w:r>
                </w:p>
                <w:p>
                  <w:pPr>
                    <w:pStyle w:val="Normal1"/>
                    <w:shd w:val="clear" w:fill="FFFF0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2.1 Na fase de</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disputa, o critério de aceitabilidade de preços no sistema de compras eletrônicas é o valor unitário, fixado neste Edital.</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2.1.1 Os valores que permanecerem acima (ou com lances negativos, no caso de critério de julgamento de maior desconto) do(s) valor(es) unitário(s) máximo(s) do(s) lote(s), nesta fase, serão desclassificados”.</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2.2.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(MENOR PREÇO OU MAIOR DESCONTO).</w:t>
                  </w:r>
                </w:p>
                <w:p>
                  <w:pPr>
                    <w:pStyle w:val="Normal1"/>
                    <w:shd w:val="clear" w:fill="FFFF00"/>
                    <w:spacing w:lineRule="auto" w:line="240"/>
                    <w:ind w:firstLine="9" w:left="-9" w:right="0"/>
                    <w:rPr>
                      <w:rFonts w:ascii="Arial" w:hAnsi="Arial" w:eastAsia="Arial" w:cs="Arial"/>
                      <w:position w:val="0"/>
                      <w:sz w:val="22"/>
                      <w:sz w:val="22"/>
                      <w:highlight w:val="darkGreen"/>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2.3 Encerrada a fase de lances, após a negociação, as propostas que permanecerem acima (ou com lances negativos, no caso de critério de maior desconto) do(s) valor(es) unitário(s) máximo(s) do(s) lote(s), serão desclassificadas.”</w:t>
                  </w:r>
                </w:p>
                <w:p>
                  <w:pPr>
                    <w:pStyle w:val="Normal1"/>
                    <w:shd w:val="clear" w:fill="FFFF00"/>
                    <w:spacing w:lineRule="auto" w:line="240"/>
                    <w:ind w:firstLine="9" w:left="-9" w:right="0"/>
                    <w:rPr>
                      <w:rFonts w:ascii="Arial" w:hAnsi="Arial" w:eastAsia="Arial" w:cs="Arial"/>
                      <w:position w:val="0"/>
                      <w:sz w:val="22"/>
                      <w:sz w:val="22"/>
                      <w:highlight w:val="darkGreen"/>
                      <w:vertAlign w:val="baseline"/>
                    </w:rPr>
                  </w:pPr>
                  <w:r>
                    <w:rPr>
                      <w:rFonts w:eastAsia="Arial" w:cs="Arial" w:ascii="Arial" w:hAnsi="Arial"/>
                      <w:position w:val="0"/>
                      <w:sz w:val="22"/>
                      <w:sz w:val="22"/>
                      <w:highlight w:val="darkGreen"/>
                      <w:vertAlign w:val="baseline"/>
                    </w:rPr>
                  </w:r>
                </w:p>
                <w:p>
                  <w:pPr>
                    <w:pStyle w:val="Normal1"/>
                    <w:shd w:val="clear" w:fill="FFFF00"/>
                    <w:ind w:right="-1"/>
                    <w:jc w:val="both"/>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Quando o lote for composto por mais de um item:</w:t>
                  </w:r>
                </w:p>
                <w:p>
                  <w:pPr>
                    <w:pStyle w:val="Normal1"/>
                    <w:shd w:val="clear" w:fill="FFFF0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2.1. Na fase de disputa, o critério de aceitabilidade de preços no sistema de compras eletrônicas é a soma dos valores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unitários dos itens que compõem o lote, fixado neste Edital.</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2.1.1. Os valores que permanecerem acima (ou com lances negativos, no caso de critério de julgamento de maior desconto) do(s) valor(es) unitário(s) máximo(s) e total(is) máximo(s) fixado(s) neste edital serão desclassificados.</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2.2.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(MENOR PREÇO OU MAIOR DESCONTO).</w:t>
                  </w:r>
                </w:p>
                <w:p>
                  <w:pPr>
                    <w:pStyle w:val="Normal1"/>
                    <w:shd w:val="clear" w:fill="FFFF00"/>
                    <w:spacing w:lineRule="auto" w:line="240"/>
                    <w:ind w:firstLine="9" w:left="-9" w:right="0"/>
                    <w:rPr>
                      <w:rFonts w:ascii="Arial" w:hAnsi="Arial" w:eastAsia="Arial" w:cs="Arial"/>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2.3 Encerrada a fase de lances, após a negociação, as propostas que permanecerem acima (ou com lances negativos, no caso de critério de maior desconto) do(s) valor(es) unitário(s) máximo(s) e total(is) máximo(s) fixado(s) neste edital serão desclassificadas.”</w:t>
                  </w:r>
                </w:p>
                <w:p>
                  <w:pPr>
                    <w:pStyle w:val="Normal1"/>
                    <w:shd w:val="clear" w:fill="FFFF00"/>
                    <w:spacing w:lineRule="auto" w:line="240"/>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ind w:firstLine="9" w:left="-9" w:right="0"/>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Ou</w:t>
                  </w:r>
                </w:p>
                <w:p>
                  <w:pPr>
                    <w:pStyle w:val="Normal1"/>
                    <w:shd w:val="clear" w:fill="FFFF00"/>
                    <w:spacing w:lineRule="auto" w:line="240"/>
                    <w:ind w:firstLine="9" w:left="-9" w:right="0"/>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0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2.1. Na fase de disputa, o critério de aceitabilidade de preços no sistema de compras eletrônicas é </w:t>
                  </w:r>
                  <w:r>
                    <w:rPr>
                      <w:rFonts w:eastAsia="Arial" w:cs="Arial" w:ascii="Arial" w:hAnsi="Arial"/>
                      <w:b w:val="false"/>
                      <w:i w:val="false"/>
                      <w:caps w:val="false"/>
                      <w:smallCaps w:val="false"/>
                      <w:strike w:val="false"/>
                      <w:dstrike w:val="false"/>
                      <w:color w:val="000000"/>
                      <w:position w:val="0"/>
                      <w:sz w:val="20"/>
                      <w:sz w:val="20"/>
                      <w:szCs w:val="20"/>
                      <w:vertAlign w:val="baseline"/>
                    </w:rPr>
                    <w:t>o valor máximo global do lote, fixado neste edital.</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2.1.1. Os valores que permanecerem acima (ou com lances negativos, no caso de critério de julgamento de maior desconto) do(s) valor(es) unitário(s) máximo(s) e total(is) máximo(s) fixado(s) neste edital serão desclassificados”.</w:t>
                  </w:r>
                </w:p>
                <w:p>
                  <w:pPr>
                    <w:pStyle w:val="Normal1"/>
                    <w:shd w:val="clear" w:fill="FFFF00"/>
                    <w:spacing w:lineRule="auto" w:line="240"/>
                    <w:ind w:firstLine="9" w:left="-9" w:right="0"/>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2.2. O julgamento das propostas será realizado de acordo com critério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(MENOR PREÇO OU MAIOR DESCONTO).</w:t>
                  </w:r>
                </w:p>
                <w:p>
                  <w:pPr>
                    <w:pStyle w:val="Normal1"/>
                    <w:shd w:val="clear" w:fill="FFFF00"/>
                    <w:spacing w:lineRule="auto" w:line="240"/>
                    <w:ind w:firstLine="9" w:left="-9" w:right="0"/>
                    <w:rPr>
                      <w:rFonts w:ascii="Arial" w:hAnsi="Arial" w:eastAsia="Arial" w:cs="Arial"/>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2.3. Encerrada a fase de lances, após a negociação, as propostas que permanecerem acima (ou com lances negativos, no caso de critério de maior desconto) do(s) valor(es) unitário(s) máximo(s) e total(is) máximo(s) fixado(s) neste edital serão desclassificadas.”</w:t>
                  </w:r>
                </w:p>
                <w:p>
                  <w:pPr>
                    <w:pStyle w:val="Normal1"/>
                    <w:shd w:val="clear" w:fill="FFFF00"/>
                    <w:spacing w:lineRule="auto" w:line="240"/>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firstLine="9" w:left="-9" w:right="0"/>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Obs. 3 Quando o lote for composto por mais de um item, a Administração deve justificar o critério de disputa utilizado (soma dos valores unitários dos itens ou valor máximo global do lote), demonstrando que o escolhido é o mais vantajoso economicamente, visando evitar jogo de planilhas.</w:t>
                  </w:r>
                </w:p>
                <w:p>
                  <w:pPr>
                    <w:pStyle w:val="Normal1"/>
                    <w:shd w:val="clear" w:fill="FFFF00"/>
                    <w:spacing w:lineRule="auto" w:line="240" w:before="0" w:after="20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shd w:val="clear" w:fill="FFFFFF"/>
              <w:spacing w:lineRule="auto" w:line="240" w:before="0" w:after="200"/>
              <w:ind w:right="-1"/>
              <w:jc w:val="both"/>
              <w:rPr>
                <w:position w:val="0"/>
                <w:sz w:val="22"/>
                <w:sz w:val="22"/>
                <w:vertAlign w:val="baseline"/>
              </w:rPr>
            </w:pPr>
            <w:r>
              <w:rPr>
                <w:position w:val="0"/>
                <w:sz w:val="22"/>
                <w:sz w:val="22"/>
                <w:vertAlign w:val="baseline"/>
              </w:rPr>
            </w:r>
          </w:p>
        </w:tc>
      </w:tr>
    </w:tbl>
    <w:p>
      <w:pPr>
        <w:pStyle w:val="Normal1"/>
        <w:shd w:val="clear" w:fill="FFFFFF"/>
        <w:spacing w:lineRule="auto" w:line="240" w:before="57" w:after="0"/>
        <w:ind w:right="-1"/>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16"/>
        <w:tblW w:w="9017" w:type="dxa"/>
        <w:jc w:val="left"/>
        <w:tblInd w:w="-55" w:type="dxa"/>
        <w:tblLayout w:type="fixed"/>
        <w:tblCellMar>
          <w:top w:w="0" w:type="dxa"/>
          <w:left w:w="108" w:type="dxa"/>
          <w:bottom w:w="0" w:type="dxa"/>
          <w:right w:w="108" w:type="dxa"/>
        </w:tblCellMar>
        <w:tblLook w:val="0000"/>
      </w:tblPr>
      <w:tblGrid>
        <w:gridCol w:w="9017"/>
      </w:tblGrid>
      <w:tr>
        <w:trPr/>
        <w:tc>
          <w:tcPr>
            <w:tcW w:w="9017"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3 PRAZO MÍNIMO DE VALIDADE DAS PROPOSTAS:</w:t>
            </w:r>
          </w:p>
          <w:p>
            <w:pPr>
              <w:pStyle w:val="Normal1"/>
              <w:shd w:val="clear" w:fill="FFFFFF"/>
              <w:spacing w:lineRule="auto" w:line="240" w:before="57" w:after="0"/>
              <w:ind w:right="-1"/>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prazo de validade das propostas, que deverã</w:t>
            </w:r>
            <w:r>
              <w:rPr>
                <w:rFonts w:eastAsia="Arial" w:cs="Arial" w:ascii="Arial" w:hAnsi="Arial"/>
                <w:b w:val="false"/>
                <w:i w:val="false"/>
                <w:caps w:val="false"/>
                <w:smallCaps w:val="false"/>
                <w:strike w:val="false"/>
                <w:dstrike w:val="false"/>
                <w:position w:val="0"/>
                <w:sz w:val="20"/>
                <w:sz w:val="20"/>
                <w:szCs w:val="20"/>
                <w:vertAlign w:val="baseline"/>
              </w:rPr>
              <w:t>o constar no Descritivo das Propostas de Preços (Anexo III), não poderá ser inferior ao fixado neste edital.</w:t>
            </w:r>
          </w:p>
        </w:tc>
      </w:tr>
    </w:tbl>
    <w:p>
      <w:pPr>
        <w:pStyle w:val="Normal1"/>
        <w:shd w:val="clear" w:fill="FFFFFF"/>
        <w:spacing w:lineRule="auto" w:line="240" w:before="57" w:after="0"/>
        <w:ind w:right="-1"/>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bl>
      <w:tblPr>
        <w:tblStyle w:val="Table17"/>
        <w:tblW w:w="9125" w:type="dxa"/>
        <w:jc w:val="left"/>
        <w:tblInd w:w="-55" w:type="dxa"/>
        <w:tblLayout w:type="fixed"/>
        <w:tblCellMar>
          <w:top w:w="0" w:type="dxa"/>
          <w:left w:w="108" w:type="dxa"/>
          <w:bottom w:w="0" w:type="dxa"/>
          <w:right w:w="108" w:type="dxa"/>
        </w:tblCellMar>
        <w:tblLook w:val="0000"/>
      </w:tblPr>
      <w:tblGrid>
        <w:gridCol w:w="9125"/>
      </w:tblGrid>
      <w:tr>
        <w:trPr>
          <w:trHeight w:val="1533" w:hRule="atLeast"/>
        </w:trPr>
        <w:tc>
          <w:tcPr>
            <w:tcW w:w="912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4 VIGÊNCIA:</w:t>
            </w:r>
          </w:p>
          <w:p>
            <w:pPr>
              <w:pStyle w:val="Normal1"/>
              <w:shd w:val="clear" w:fill="FFFFFF"/>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4.1 </w:t>
            </w:r>
            <w:r>
              <w:rPr>
                <w:rFonts w:eastAsia="Arial" w:cs="Arial" w:ascii="Arial" w:hAnsi="Arial"/>
                <w:b w:val="false"/>
                <w:i w:val="false"/>
                <w:caps w:val="false"/>
                <w:smallCaps w:val="false"/>
                <w:strike w:val="false"/>
                <w:dstrike w:val="false"/>
                <w:position w:val="0"/>
                <w:sz w:val="20"/>
                <w:sz w:val="20"/>
                <w:szCs w:val="20"/>
                <w:highlight w:val="white"/>
                <w:vertAlign w:val="baseline"/>
              </w:rPr>
              <w:t>A vigência do contrato se inicia com a assinatura do contrato e é de 180 (cento e oitenta) dias contados a partir do término do prazo de execução.</w:t>
            </w:r>
          </w:p>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4.2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prazo de execução do contrato é de </w:t>
            </w:r>
            <w:r>
              <w:rPr>
                <w:rFonts w:eastAsia="Arial" w:cs="Arial" w:ascii="Arial" w:hAnsi="Arial"/>
                <w:b w:val="false"/>
                <w:i w:val="false"/>
                <w:caps w:val="false"/>
                <w:smallCaps w:val="false"/>
                <w:strike w:val="false"/>
                <w:dstrike w:val="false"/>
                <w:position w:val="0"/>
                <w:sz w:val="20"/>
                <w:sz w:val="20"/>
                <w:szCs w:val="20"/>
                <w:highlight w:val="yellow"/>
                <w:vertAlign w:val="baseline"/>
              </w:rPr>
              <w:t>[XXXX] (XXX)</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dias/meses/anos, contados a partir da data estabelecida na Ordem de Serviço.</w:t>
            </w:r>
          </w:p>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18"/>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Na contratação que previr a conclusão de escopo predefinido deverá ser incluída a seguinte redação:</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widowControl/>
              <w:shd w:val="clear" w:fill="FFFF00"/>
              <w:spacing w:lineRule="auto" w:line="240" w:before="57" w:after="57"/>
              <w:rPr>
                <w:rFonts w:ascii="Arial" w:hAnsi="Arial" w:eastAsia="Arial" w:cs="Arial"/>
                <w:b/>
                <w:color w:val="000000"/>
                <w:position w:val="0"/>
                <w:sz w:val="20"/>
                <w:sz w:val="20"/>
                <w:szCs w:val="20"/>
                <w:highlight w:val="yellow"/>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presente contratação adotará como regime de execução a XXXXXXXX (Empreitada por Preço Unitário/Empreitada por Preço Global/Execução por Tarefa/Empreitada Integral)</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4.2.2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O prazo de vigência será automaticamente prorrogado quando seu objeto não for concluído no período firmado no contrato, respeitadas as disposições contidas no art. 111 da Lei Federal n.º 14.133/2021.</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widowControl/>
              <w:shd w:val="clear" w:fill="FFFF00"/>
              <w:spacing w:lineRule="auto" w:line="240" w:before="57" w:after="57"/>
              <w:rPr>
                <w:rFonts w:ascii="Arial" w:hAnsi="Arial" w:eastAsia="Arial" w:cs="Arial"/>
                <w:position w:val="0"/>
                <w:sz w:val="20"/>
                <w:sz w:val="20"/>
                <w:szCs w:val="20"/>
                <w:highlight w:val="yellow"/>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w:t>
            </w:r>
          </w:p>
          <w:p>
            <w:pPr>
              <w:pStyle w:val="Normal1"/>
              <w:widowControl/>
              <w:shd w:val="clear" w:fill="FFFF00"/>
              <w:spacing w:lineRule="auto" w:line="240" w:before="57" w:after="57"/>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widowControl/>
              <w:shd w:val="clear" w:fill="FFFF00"/>
              <w:spacing w:lineRule="auto" w:line="240" w:before="57" w:after="57"/>
              <w:rPr>
                <w:rFonts w:ascii="Arial" w:hAnsi="Arial" w:eastAsia="Arial" w:cs="Arial"/>
                <w:b/>
                <w:position w:val="0"/>
                <w:sz w:val="20"/>
                <w:sz w:val="20"/>
                <w:szCs w:val="20"/>
                <w:highlight w:val="yellow"/>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OBS.1. </w:t>
            </w:r>
            <w:r>
              <w:rPr>
                <w:rFonts w:eastAsia="Arial" w:cs="Arial" w:ascii="Arial" w:hAnsi="Arial"/>
                <w:b w:val="false"/>
                <w:i w:val="false"/>
                <w:caps w:val="false"/>
                <w:smallCaps w:val="false"/>
                <w:strike w:val="false"/>
                <w:dstrike w:val="false"/>
                <w:position w:val="0"/>
                <w:sz w:val="20"/>
                <w:sz w:val="20"/>
                <w:szCs w:val="20"/>
                <w:highlight w:val="yellow"/>
                <w:vertAlign w:val="baseline"/>
              </w:rPr>
              <w:t>Na contratação que previr a execução de serviços contínuos de engenharia deverá ser incluída a redação a seguir:</w:t>
            </w:r>
          </w:p>
          <w:p>
            <w:pPr>
              <w:pStyle w:val="Normal1"/>
              <w:widowControl/>
              <w:shd w:val="clear" w:fill="FFFF00"/>
              <w:spacing w:lineRule="auto" w:line="240" w:before="57" w:after="57"/>
              <w:rPr>
                <w:rFonts w:ascii="Arial" w:hAnsi="Arial" w:eastAsia="Arial" w:cs="Arial"/>
                <w:b/>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4.2.1 </w:t>
            </w:r>
            <w:r>
              <w:rPr>
                <w:rFonts w:eastAsia="Arial" w:cs="Arial" w:ascii="Arial" w:hAnsi="Arial"/>
                <w:b w:val="false"/>
                <w:i w:val="false"/>
                <w:caps w:val="false"/>
                <w:smallCaps w:val="false"/>
                <w:strike w:val="false"/>
                <w:dstrike w:val="false"/>
                <w:position w:val="0"/>
                <w:sz w:val="20"/>
                <w:sz w:val="20"/>
                <w:szCs w:val="20"/>
                <w:highlight w:val="yellow"/>
                <w:vertAlign w:val="baseline"/>
              </w:rPr>
              <w:t>A presente contratação adotará como regime de execução a XXXXXXXX (Empreitada por           Preço Unitário/Empreitada por Preço Global/Execução por Tarefa/Empreitada Integral)</w:t>
            </w:r>
          </w:p>
          <w:p>
            <w:pPr>
              <w:pStyle w:val="Normal1"/>
              <w:widowControl/>
              <w:shd w:val="clear" w:fill="FFFF00"/>
              <w:spacing w:lineRule="auto" w:line="240" w:before="57" w:after="57"/>
              <w:rPr>
                <w:rFonts w:ascii="Arial" w:hAnsi="Arial" w:eastAsia="Arial" w:cs="Arial"/>
                <w:b/>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4.2.2.</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O prazo de vigência do contrato é de até _____( anos), om base no artigo 106 da Lei n.º Federal 14.133, de 2021. podendo ser prorrogado por interesse das partes até o limite de XXX (XXXXXX) anos, conforme o previsto no art. 107 da mesma Lei.</w:t>
            </w:r>
          </w:p>
          <w:p>
            <w:pPr>
              <w:pStyle w:val="Normal1"/>
              <w:widowControl/>
              <w:shd w:val="clear" w:fill="FFFF00"/>
              <w:spacing w:lineRule="auto" w:line="240" w:before="57" w:after="57"/>
              <w:rPr>
                <w:rFonts w:ascii="Arial" w:hAnsi="Arial" w:eastAsia="Arial" w:cs="Arial"/>
                <w:b/>
                <w:position w:val="0"/>
                <w:sz w:val="20"/>
                <w:sz w:val="20"/>
                <w:szCs w:val="20"/>
                <w:highlight w:val="yellow"/>
                <w:vertAlign w:val="baseline"/>
              </w:rPr>
            </w:pPr>
            <w:r>
              <w:rPr>
                <w:rFonts w:eastAsia="Arial" w:cs="Arial" w:ascii="Arial" w:hAnsi="Arial"/>
                <w:b/>
                <w:position w:val="0"/>
                <w:sz w:val="20"/>
                <w:sz w:val="20"/>
                <w:szCs w:val="20"/>
                <w:highlight w:val="yellow"/>
                <w:vertAlign w:val="baseline"/>
              </w:rPr>
            </w:r>
          </w:p>
          <w:p>
            <w:pPr>
              <w:pStyle w:val="Normal1"/>
              <w:widowControl/>
              <w:shd w:val="clear" w:fill="FFFF00"/>
              <w:spacing w:lineRule="auto" w:line="240" w:before="57" w:after="57"/>
              <w:rPr>
                <w:rFonts w:ascii="Arial" w:hAnsi="Arial" w:eastAsia="Arial" w:cs="Arial"/>
                <w:b/>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OU</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4.2.1</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vertAlign w:val="baseline"/>
              </w:rPr>
              <w:t>O contrato terá vigência pelo período de ____ (dias/meses/anos), não sendo prorrogável.</w:t>
            </w:r>
          </w:p>
          <w:p>
            <w:pPr>
              <w:pStyle w:val="Normal1"/>
              <w:widowControl/>
              <w:shd w:val="clear" w:fill="FFFF00"/>
              <w:spacing w:lineRule="auto" w:line="240" w:before="57" w:after="57"/>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shd w:val="clear" w:fill="FFFFFF"/>
        <w:spacing w:lineRule="auto" w:line="240" w:before="57"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19"/>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5 RESERVA DE LOTES PARA ME E EPP:</w:t>
            </w:r>
          </w:p>
          <w:p>
            <w:pPr>
              <w:pStyle w:val="Normal1"/>
              <w:shd w:val="clear" w:fill="FFFFFF"/>
              <w:spacing w:lineRule="auto" w:line="240" w:before="0" w:after="0"/>
              <w:ind w:right="-1"/>
              <w:jc w:val="both"/>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Somente poderão participar da disputa do(s) lote(s) </w:t>
            </w:r>
            <w:r>
              <w:rPr>
                <w:rFonts w:eastAsia="Arial" w:cs="Arial" w:ascii="Arial" w:hAnsi="Arial"/>
                <w:b w:val="false"/>
                <w:i w:val="false"/>
                <w:caps w:val="false"/>
                <w:smallCaps w:val="false"/>
                <w:strike w:val="false"/>
                <w:dstrike w:val="false"/>
                <w:position w:val="0"/>
                <w:sz w:val="20"/>
                <w:sz w:val="20"/>
                <w:szCs w:val="20"/>
                <w:highlight w:val="yellow"/>
                <w:vertAlign w:val="baseline"/>
              </w:rPr>
              <w:t>XXXX, XXXX e XXXX</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 empresas que se enquadrem na condição de microempresa, de empresa de pequeno porte ou microempreendedor individual, conforme o disposto no art. 48, incisos I e III, da Lei Complementar Federal n.º 123, de 2006.</w:t>
            </w:r>
          </w:p>
          <w:p>
            <w:pPr>
              <w:pStyle w:val="Normal1"/>
              <w:shd w:val="clear" w:fill="FFFFFF"/>
              <w:spacing w:lineRule="auto" w:line="240" w:before="0" w:after="0"/>
              <w:ind w:right="-1"/>
              <w:jc w:val="both"/>
              <w:rPr>
                <w:rFonts w:ascii="Arial" w:hAnsi="Arial" w:eastAsia="Arial" w:cs="Arial"/>
                <w:color w:val="000000"/>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 empresas que não estejam enquadradas na condição de microempresas, empresas de pequeno porte ou microempreendedor individual, poderão participar dos demais lotes classificados como de ampla concorrência.</w:t>
            </w:r>
          </w:p>
          <w:p>
            <w:pPr>
              <w:pStyle w:val="Normal1"/>
              <w:shd w:val="clear" w:fill="FFFFFF"/>
              <w:spacing w:lineRule="auto" w:line="240" w:before="0" w:after="0"/>
              <w:ind w:hanging="0" w:left="9" w:right="-55"/>
              <w:jc w:val="both"/>
              <w:rPr>
                <w:rFonts w:ascii="Arial" w:hAnsi="Arial" w:eastAsia="Arial" w:cs="Arial"/>
                <w:position w:val="0"/>
                <w:sz w:val="20"/>
                <w:sz w:val="20"/>
                <w:szCs w:val="20"/>
                <w:highlight w:val="white"/>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Se a ME, a EPP ou a MEI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for vencedora do(s) lote(s) reservado(s) e do(s) lote(s) de ampla concorrência, a contratação deverá ocorrer pelo menor preço.</w:t>
            </w:r>
          </w:p>
          <w:p>
            <w:pPr>
              <w:pStyle w:val="Normal1"/>
              <w:shd w:val="clear" w:fill="FFFFFF"/>
              <w:spacing w:lineRule="auto" w:line="240" w:before="120" w:after="12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Será concedido tratamento favorecido para as microempresas e empresas de pequeno porte, para as sociedades cooperativas mencionadas no artigo 34 da Lei n.º 11.488, de 2007, e para o microempreendedor individual - MEI, nos limites previstos da Lei Complementar n.º 123, de 2006.</w:t>
            </w:r>
          </w:p>
        </w:tc>
      </w:tr>
    </w:tbl>
    <w:p>
      <w:pPr>
        <w:pStyle w:val="Normal1"/>
        <w:shd w:val="clear" w:fill="FFFFFF"/>
        <w:spacing w:lineRule="auto" w:line="240" w:before="57" w:after="0"/>
        <w:ind w:right="-1"/>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2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jc w:val="both"/>
              <w:rPr>
                <w:rFonts w:ascii="Arial" w:hAnsi="Arial" w:eastAsia="Arial" w:cs="Arial"/>
                <w:b/>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0"/>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00"/>
              <w:spacing w:lineRule="auto" w:line="240" w:before="57" w:after="0"/>
              <w:jc w:val="both"/>
              <w:rPr>
                <w:rFonts w:ascii="Arial" w:hAnsi="Arial" w:eastAsia="Arial" w:cs="Arial"/>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Este tópico deverá ser removido, caso não haja lote(s) reservado(s) para microempresa e empresa de pequeno porte e microempreendedor individual.</w:t>
            </w:r>
          </w:p>
          <w:p>
            <w:pPr>
              <w:pStyle w:val="Normal1"/>
              <w:shd w:val="clear" w:fill="FFFF00"/>
              <w:spacing w:lineRule="auto" w:line="240" w:before="0"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jc w:val="both"/>
              <w:rPr>
                <w:rFonts w:ascii="Arial" w:hAnsi="Arial" w:eastAsia="Arial" w:cs="Arial"/>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Quando não for possível a realização de licitação exclusiva para ME e EPP ou de reserva de cota nos objetos divisíveis, é preciso justificativa do órgão licitante, demonstrando a subsunção do caso ao disposto no art. 49, da Lei Complementar 123/06.</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De todo modo, é preciso realçar que a aplicação do art. 48, da Lei Complementar 123/06, não pode resultar em mitigação de vantajosidade, a ponto de superar os benefícios nacionais trazidos pelo tratamento diferenciado a essas empresas. Exige-se ponderação na decisão administrativa, como é próprio da solução de antinomias (princípio da vantajosidade x tratamento favorecido a ME e EPP).</w:t>
            </w:r>
          </w:p>
          <w:p>
            <w:pPr>
              <w:pStyle w:val="Normal1"/>
              <w:keepNext w:val="false"/>
              <w:keepLines w:val="false"/>
              <w:widowControl/>
              <w:shd w:val="clear" w:fill="FFFF00"/>
              <w:spacing w:lineRule="auto" w:line="240" w:before="0" w:after="0"/>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Ou seja, na fase interna da licitação, a Administração deverá justificar a inaplicabilidade do art. 48, da Lei Complementar 123/06, porque não vantajoso, à luz do disposto no art. 120, do Decreto Estadual 10.086/2022.</w:t>
            </w:r>
          </w:p>
          <w:p>
            <w:pPr>
              <w:pStyle w:val="Normal1"/>
              <w:keepNext w:val="false"/>
              <w:keepLines w:val="false"/>
              <w:widowControl/>
              <w:shd w:val="clear" w:fill="FFFF00"/>
              <w:spacing w:lineRule="auto" w:line="240" w:before="57" w:after="0"/>
              <w:ind w:hanging="0" w:left="36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tc>
      </w:tr>
    </w:tbl>
    <w:p>
      <w:pPr>
        <w:pStyle w:val="Normal1"/>
        <w:shd w:val="clear" w:fill="FFFFFF"/>
        <w:spacing w:lineRule="auto" w:line="240" w:before="57"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1"/>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0" w:after="0"/>
              <w:ind w:right="-1"/>
              <w:jc w:val="both"/>
              <w:rPr>
                <w:rFonts w:ascii="Arial" w:hAnsi="Arial" w:eastAsia="Arial" w:cs="Arial"/>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6 GARANTIA:</w:t>
            </w:r>
          </w:p>
          <w:p>
            <w:pPr>
              <w:pStyle w:val="Normal1"/>
              <w:shd w:val="clear" w:fill="FFFFFF"/>
              <w:spacing w:lineRule="auto" w:line="240" w:before="0" w:after="0"/>
              <w:ind w:right="-1"/>
              <w:jc w:val="both"/>
              <w:rPr>
                <w:rFonts w:ascii="Arial" w:hAnsi="Arial" w:eastAsia="Arial" w:cs="Arial"/>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Será exigida garantia da execução do contrato, na forma da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cláusula 12 da Minuta de Contrato (Anexo I).</w:t>
            </w:r>
          </w:p>
          <w:p>
            <w:pPr>
              <w:pStyle w:val="Normal1"/>
              <w:shd w:val="clear" w:fill="FFFFFF"/>
              <w:spacing w:lineRule="auto" w:line="240" w:before="0"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22"/>
              <w:tblW w:w="8953" w:type="dxa"/>
              <w:jc w:val="left"/>
              <w:tblInd w:w="0" w:type="dxa"/>
              <w:tblLayout w:type="fixed"/>
              <w:tblCellMar>
                <w:top w:w="0" w:type="dxa"/>
                <w:left w:w="108" w:type="dxa"/>
                <w:bottom w:w="0" w:type="dxa"/>
                <w:right w:w="108" w:type="dxa"/>
              </w:tblCellMar>
              <w:tblLook w:val="0000"/>
            </w:tblPr>
            <w:tblGrid>
              <w:gridCol w:w="8953"/>
            </w:tblGrid>
            <w:tr>
              <w:trPr/>
              <w:tc>
                <w:tcPr>
                  <w:tcW w:w="8953"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jc w:val="both"/>
                    <w:rPr>
                      <w:rFonts w:ascii="Arial" w:hAnsi="Arial" w:eastAsia="Arial" w:cs="Arial"/>
                      <w:b/>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 xml:space="preserve">Este tópico deverá ser removido, caso a Administração opte por não exigir a garantia, </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observada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Nota Explicativa da Cláusula 12 da Minuta Padrão – (Anexo I). Caso seja exigida a garantia da execução, é obrigatório que o ajuste seja formalizado por contrato.</w:t>
                  </w:r>
                </w:p>
              </w:tc>
            </w:tr>
          </w:tbl>
          <w:p>
            <w:pPr>
              <w:pStyle w:val="Normal1"/>
              <w:shd w:val="clear" w:fill="FFFFFF"/>
              <w:spacing w:lineRule="auto" w:line="240" w:before="0"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shd w:val="clear" w:fill="FFFFFF"/>
        <w:spacing w:lineRule="auto" w:line="240" w:before="57" w:after="0"/>
        <w:ind w:right="-1"/>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3"/>
        <w:tblW w:w="9017" w:type="dxa"/>
        <w:jc w:val="left"/>
        <w:tblInd w:w="-55" w:type="dxa"/>
        <w:tblLayout w:type="fixed"/>
        <w:tblCellMar>
          <w:top w:w="0" w:type="dxa"/>
          <w:left w:w="108" w:type="dxa"/>
          <w:bottom w:w="0" w:type="dxa"/>
          <w:right w:w="108" w:type="dxa"/>
        </w:tblCellMar>
        <w:tblLook w:val="0000"/>
      </w:tblPr>
      <w:tblGrid>
        <w:gridCol w:w="9017"/>
      </w:tblGrid>
      <w:tr>
        <w:trPr/>
        <w:tc>
          <w:tcPr>
            <w:tcW w:w="9017" w:type="dxa"/>
            <w:tcBorders>
              <w:top w:val="single" w:sz="8" w:space="0" w:color="000000"/>
              <w:left w:val="single" w:sz="8" w:space="0" w:color="000000"/>
              <w:bottom w:val="single" w:sz="8" w:space="0" w:color="000000"/>
              <w:right w:val="single" w:sz="8" w:space="0" w:color="000000"/>
            </w:tcBorders>
            <w:shd w:fill="FFFF00" w:val="clear"/>
          </w:tcPr>
          <w:p>
            <w:pPr>
              <w:pStyle w:val="Normal1"/>
              <w:shd w:val="clear" w:fill="FFFF00"/>
              <w:spacing w:lineRule="auto" w:line="240" w:before="0" w:after="0"/>
              <w:ind w:right="-1"/>
              <w:jc w:val="both"/>
              <w:rPr/>
            </w:pPr>
            <w:r>
              <w:rPr>
                <w:rFonts w:eastAsia="Arial" w:cs="Arial" w:ascii="Arial" w:hAnsi="Arial"/>
                <w:b/>
                <w:i w:val="false"/>
                <w:caps w:val="false"/>
                <w:smallCaps w:val="false"/>
                <w:strike w:val="false"/>
                <w:dstrike w:val="false"/>
                <w:position w:val="0"/>
                <w:sz w:val="20"/>
                <w:sz w:val="20"/>
                <w:szCs w:val="20"/>
                <w:u w:val="single"/>
                <w:vertAlign w:val="baseline"/>
              </w:rPr>
              <w:t>7. CONSÓRCIO</w:t>
            </w:r>
          </w:p>
          <w:p>
            <w:pPr>
              <w:pStyle w:val="Normal1"/>
              <w:shd w:val="clear" w:fill="FFFF00"/>
              <w:spacing w:lineRule="auto" w:line="240" w:before="0" w:after="0"/>
              <w:ind w:right="-1"/>
              <w:jc w:val="both"/>
              <w:rPr>
                <w:rFonts w:ascii="Arial" w:hAnsi="Arial" w:eastAsia="Arial" w:cs="Arial"/>
                <w:b/>
                <w:i w:val="false"/>
                <w:i w:val="false"/>
                <w:caps w:val="false"/>
                <w:smallCaps w:val="false"/>
                <w:strike w:val="false"/>
                <w:dstrike w:val="false"/>
                <w:position w:val="0"/>
                <w:sz w:val="20"/>
                <w:sz w:val="20"/>
                <w:szCs w:val="20"/>
                <w:u w:val="single"/>
                <w:vertAlign w:val="baseline"/>
              </w:rPr>
            </w:pPr>
            <w:r>
              <w:rPr>
                <w:rFonts w:eastAsia="Arial" w:cs="Arial" w:ascii="Arial" w:hAnsi="Arial"/>
                <w:b/>
                <w:i w:val="false"/>
                <w:caps w:val="false"/>
                <w:smallCaps w:val="false"/>
                <w:strike w:val="false"/>
                <w:dstrike w:val="false"/>
                <w:position w:val="0"/>
                <w:sz w:val="20"/>
                <w:sz w:val="20"/>
                <w:szCs w:val="20"/>
                <w:u w:val="single"/>
                <w:vertAlign w:val="baseline"/>
              </w:rPr>
            </w:r>
          </w:p>
          <w:p>
            <w:pPr>
              <w:pStyle w:val="Normal1"/>
              <w:shd w:val="clear" w:fill="FFFF00"/>
              <w:spacing w:lineRule="auto" w:line="240" w:before="0" w:after="0"/>
              <w:ind w:right="-1"/>
              <w:jc w:val="both"/>
              <w:rPr>
                <w:b w:val="false"/>
                <w:bCs w:val="false"/>
                <w:u w:val="none"/>
              </w:rPr>
            </w:pPr>
            <w:r>
              <w:rPr>
                <w:rFonts w:eastAsia="Arial" w:cs="Arial" w:ascii="Arial" w:hAnsi="Arial"/>
                <w:b w:val="false"/>
                <w:bCs w:val="false"/>
                <w:i w:val="false"/>
                <w:caps w:val="false"/>
                <w:smallCaps w:val="false"/>
                <w:strike w:val="false"/>
                <w:dstrike w:val="false"/>
                <w:position w:val="0"/>
                <w:sz w:val="20"/>
                <w:sz w:val="20"/>
                <w:szCs w:val="20"/>
                <w:u w:val="none"/>
                <w:vertAlign w:val="baseline"/>
              </w:rPr>
              <w:t>O juízo acerca da admissão ou não das empresas consorciadas na licitação dependerá de cada caso concreto e deverá estar devidamente justificado no procedimento licitatório, com base em elementos técnicos e econômicos, a partir das variáveis da complexidade do objeto e das circunstâncias do mercado, tais como o risco à restrição da competitividade, as dificuldades de gestão da execução do contrato e a capacidade técnica e econômica dos participantes.</w:t>
            </w:r>
          </w:p>
          <w:p>
            <w:pPr>
              <w:pStyle w:val="Normal1"/>
              <w:shd w:val="clear" w:fill="FFFF00"/>
              <w:spacing w:lineRule="auto" w:line="240" w:before="0" w:after="0"/>
              <w:ind w:right="-1"/>
              <w:jc w:val="both"/>
              <w:rPr>
                <w:rFonts w:ascii="Arial" w:hAnsi="Arial" w:eastAsia="Arial" w:cs="Arial"/>
                <w:i w:val="false"/>
                <w:i w:val="false"/>
                <w:caps w:val="false"/>
                <w:smallCaps w:val="false"/>
                <w:strike w:val="false"/>
                <w:dstrike w:val="false"/>
                <w:position w:val="0"/>
                <w:sz w:val="20"/>
                <w:sz w:val="20"/>
                <w:szCs w:val="20"/>
                <w:vertAlign w:val="baseline"/>
              </w:rPr>
            </w:pPr>
            <w:r>
              <w:rPr>
                <w:rFonts w:eastAsia="Arial" w:cs="Arial" w:ascii="Arial" w:hAnsi="Arial"/>
                <w:i w:val="false"/>
                <w:caps w:val="false"/>
                <w:smallCaps w:val="false"/>
                <w:strike w:val="false"/>
                <w:dstrike w:val="false"/>
                <w:position w:val="0"/>
                <w:sz w:val="20"/>
                <w:sz w:val="20"/>
                <w:szCs w:val="20"/>
                <w:vertAlign w:val="baseline"/>
              </w:rPr>
            </w:r>
          </w:p>
          <w:p>
            <w:pPr>
              <w:pStyle w:val="Normal1"/>
              <w:shd w:val="clear" w:fill="FFFF00"/>
              <w:spacing w:lineRule="auto" w:line="240" w:before="0" w:after="0"/>
              <w:ind w:right="-1"/>
              <w:jc w:val="both"/>
              <w:rPr/>
            </w:pPr>
            <w:r>
              <w:rPr>
                <w:rFonts w:eastAsia="Arial" w:cs="Arial" w:ascii="Arial" w:hAnsi="Arial"/>
                <w:b/>
                <w:i w:val="false"/>
                <w:caps w:val="false"/>
                <w:smallCaps w:val="false"/>
                <w:strike w:val="false"/>
                <w:dstrike w:val="false"/>
                <w:position w:val="0"/>
                <w:sz w:val="20"/>
                <w:sz w:val="20"/>
                <w:szCs w:val="20"/>
                <w:u w:val="single"/>
                <w:vertAlign w:val="baseline"/>
              </w:rPr>
              <w:t>Administração deverá optar por uma das seguintes redações:</w:t>
            </w:r>
          </w:p>
          <w:p>
            <w:pPr>
              <w:pStyle w:val="Normal1"/>
              <w:shd w:val="clear" w:fill="FFFF00"/>
              <w:spacing w:lineRule="auto" w:line="240" w:before="0" w:after="0"/>
              <w:ind w:right="-1"/>
              <w:jc w:val="both"/>
              <w:rPr>
                <w:rFonts w:ascii="Arial" w:hAnsi="Arial" w:eastAsia="Arial" w:cs="Arial"/>
                <w:b/>
                <w:color w:val="000000"/>
                <w:position w:val="0"/>
                <w:sz w:val="20"/>
                <w:sz w:val="20"/>
                <w:szCs w:val="20"/>
                <w:vertAlign w:val="baseline"/>
              </w:rPr>
            </w:pPr>
            <w:r>
              <w:rPr>
                <w:rFonts w:eastAsia="Arial" w:cs="Arial" w:ascii="Arial" w:hAnsi="Arial"/>
                <w:b w:val="false"/>
                <w:i/>
                <w:caps w:val="false"/>
                <w:smallCaps w:val="false"/>
                <w:strike w:val="false"/>
                <w:dstrike w:val="false"/>
                <w:position w:val="0"/>
                <w:sz w:val="20"/>
                <w:sz w:val="20"/>
                <w:szCs w:val="20"/>
                <w:vertAlign w:val="baseline"/>
              </w:rPr>
              <w:t>“</w:t>
            </w:r>
            <w:r>
              <w:rPr>
                <w:rFonts w:eastAsia="Arial" w:cs="Arial" w:ascii="Arial" w:hAnsi="Arial"/>
                <w:b w:val="false"/>
                <w:i/>
                <w:caps w:val="false"/>
                <w:smallCaps w:val="false"/>
                <w:strike w:val="false"/>
                <w:dstrike w:val="false"/>
                <w:position w:val="0"/>
                <w:sz w:val="20"/>
                <w:sz w:val="20"/>
                <w:szCs w:val="20"/>
                <w:vertAlign w:val="baseline"/>
              </w:rPr>
              <w:t>Será permitida a participação de empresas em regime de consórcio, atendidas as condições do art. 15 da Lei Federal n.º 14.133, de 2021, e do Decreto n.º 10.086, de 2022 e aquelas estabelecidas neste edital, conforme justificativa técnica e econômica constante do procedimento administrativo.</w:t>
            </w:r>
          </w:p>
          <w:p>
            <w:pPr>
              <w:pStyle w:val="Normal1"/>
              <w:shd w:val="clear" w:fill="FFFF00"/>
              <w:spacing w:lineRule="auto" w:line="240" w:before="0" w:after="0"/>
              <w:ind w:right="-1"/>
              <w:jc w:val="both"/>
              <w:rPr>
                <w:rFonts w:ascii="Arial" w:hAnsi="Arial" w:eastAsia="Arial" w:cs="Arial"/>
                <w:b/>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empresas consorciadas deverão ter objeto social pertinente e compatível com o objeto licitado.</w:t>
            </w:r>
          </w:p>
          <w:p>
            <w:pPr>
              <w:pStyle w:val="Normal1"/>
              <w:shd w:val="clear" w:fill="FFFF00"/>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 </w:t>
            </w:r>
            <w:r>
              <w:rPr>
                <w:rFonts w:eastAsia="Arial" w:cs="Arial" w:ascii="Arial" w:hAnsi="Arial"/>
                <w:b w:val="false"/>
                <w:i w:val="false"/>
                <w:caps w:val="false"/>
                <w:smallCaps w:val="false"/>
                <w:strike w:val="false"/>
                <w:dstrike w:val="false"/>
                <w:color w:val="000000"/>
                <w:position w:val="0"/>
                <w:sz w:val="20"/>
                <w:sz w:val="20"/>
                <w:szCs w:val="20"/>
                <w:vertAlign w:val="baseline"/>
              </w:rPr>
              <w:t>O arrematante entregará, junto com os documentos de habilitação:</w:t>
            </w:r>
          </w:p>
          <w:p>
            <w:pPr>
              <w:pStyle w:val="Normal1"/>
              <w:shd w:val="clear" w:fill="FFFF00"/>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o</w:t>
            </w:r>
            <w:r>
              <w:rPr>
                <w:rFonts w:eastAsia="Arial" w:cs="Arial" w:ascii="Arial" w:hAnsi="Arial"/>
                <w:b w:val="false"/>
                <w:i w:val="false"/>
                <w:caps w:val="false"/>
                <w:smallCaps w:val="false"/>
                <w:strike w:val="false"/>
                <w:dstrike w:val="false"/>
                <w:position w:val="0"/>
                <w:sz w:val="20"/>
                <w:sz w:val="20"/>
                <w:szCs w:val="20"/>
                <w:vertAlign w:val="baseline"/>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b) documento com indicação da empresa responsável pelo consórcio, a qual deverá atender às condições de liderança, fixadas neste edital. No consórcio de empresas brasileiras e estrangeiras, a liderança caberá, obrigatoriamente, à empresa brasileira.</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7.3</w:t>
            </w:r>
            <w:r>
              <w:rPr>
                <w:rFonts w:eastAsia="Arial" w:cs="Arial" w:ascii="Arial" w:hAnsi="Arial"/>
                <w:b w:val="false"/>
                <w:i w:val="false"/>
                <w:caps w:val="false"/>
                <w:smallCaps w:val="false"/>
                <w:strike w:val="false"/>
                <w:dstrike w:val="false"/>
                <w:position w:val="0"/>
                <w:sz w:val="20"/>
                <w:sz w:val="20"/>
                <w:szCs w:val="20"/>
                <w:vertAlign w:val="baseline"/>
              </w:rPr>
              <w:t xml:space="preserve"> Os Documentos de Habilitação (Anexo XV)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A empresa consorciada está impedida de participar desta licitação por intermédio de mais de um consórcio ou isoladamente, inclusive na condição de subcontratada de outro licitante.</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7.5</w:t>
            </w:r>
            <w:r>
              <w:rPr>
                <w:rFonts w:eastAsia="Arial" w:cs="Arial" w:ascii="Arial" w:hAnsi="Arial"/>
                <w:b w:val="false"/>
                <w:i w:val="false"/>
                <w:caps w:val="false"/>
                <w:smallCaps w:val="false"/>
                <w:strike w:val="false"/>
                <w:dstrike w:val="false"/>
                <w:position w:val="0"/>
                <w:sz w:val="20"/>
                <w:sz w:val="20"/>
                <w:szCs w:val="20"/>
                <w:vertAlign w:val="baseline"/>
              </w:rPr>
              <w:t xml:space="preserve"> Os integrantes do consórcio respondem de forma solidária pelos atos praticados em consórcio, tanto na fase de licitação, quanto na de execução do contrato.</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7.6</w:t>
            </w:r>
            <w:r>
              <w:rPr>
                <w:rFonts w:eastAsia="Arial" w:cs="Arial" w:ascii="Arial" w:hAnsi="Arial"/>
                <w:b w:val="false"/>
                <w:i w:val="false"/>
                <w:caps w:val="false"/>
                <w:smallCaps w:val="false"/>
                <w:strike w:val="false"/>
                <w:dstrike w:val="false"/>
                <w:position w:val="0"/>
                <w:sz w:val="20"/>
                <w:sz w:val="20"/>
                <w:szCs w:val="20"/>
                <w:vertAlign w:val="baseline"/>
              </w:rPr>
              <w:t xml:space="preserve"> A empresa líder será a representante do consórcio perante a Contratante e deverá subscrever a proposta de preços, em nome do consórcio.</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7.7</w:t>
            </w:r>
            <w:r>
              <w:rPr>
                <w:rFonts w:eastAsia="Arial" w:cs="Arial" w:ascii="Arial" w:hAnsi="Arial"/>
                <w:b w:val="false"/>
                <w:i w:val="false"/>
                <w:caps w:val="false"/>
                <w:smallCaps w:val="false"/>
                <w:strike w:val="false"/>
                <w:dstrike w:val="false"/>
                <w:position w:val="0"/>
                <w:sz w:val="20"/>
                <w:sz w:val="20"/>
                <w:szCs w:val="20"/>
                <w:vertAlign w:val="baseline"/>
              </w:rPr>
              <w:t xml:space="preserve"> Qualquer uma das consorciadas poderá apresentar, em nome do consórcio, a garantia da execução, quando exigida.</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7.8</w:t>
            </w:r>
            <w:r>
              <w:rPr>
                <w:rFonts w:eastAsia="Arial" w:cs="Arial" w:ascii="Arial" w:hAnsi="Arial"/>
                <w:b w:val="false"/>
                <w:i w:val="false"/>
                <w:caps w:val="false"/>
                <w:smallCaps w:val="false"/>
                <w:strike w:val="false"/>
                <w:dstrike w:val="false"/>
                <w:position w:val="0"/>
                <w:sz w:val="20"/>
                <w:sz w:val="20"/>
                <w:szCs w:val="20"/>
                <w:vertAlign w:val="baseline"/>
              </w:rPr>
              <w:t xml:space="preserve"> O prazo de duração do consórcio deve, no mínimo, coincidir com o prazo de conclusão do objeto licitado, até sua aceitação definitiva.</w:t>
            </w:r>
          </w:p>
          <w:p>
            <w:pPr>
              <w:pStyle w:val="Normal1"/>
              <w:shd w:val="clear" w:fill="FFFF00"/>
              <w:spacing w:lineRule="auto" w:line="240" w:before="0" w:after="0"/>
              <w:ind w:right="-1"/>
              <w:jc w:val="both"/>
              <w:rPr>
                <w:rFonts w:ascii="Arial" w:hAnsi="Arial" w:eastAsia="Arial" w:cs="Arial"/>
                <w:b/>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7.9</w:t>
            </w:r>
            <w:r>
              <w:rPr>
                <w:rFonts w:eastAsia="Arial" w:cs="Arial" w:ascii="Arial" w:hAnsi="Arial"/>
                <w:b w:val="false"/>
                <w:i w:val="false"/>
                <w:caps w:val="false"/>
                <w:smallCaps w:val="false"/>
                <w:strike w:val="false"/>
                <w:dstrike w:val="false"/>
                <w:position w:val="0"/>
                <w:sz w:val="20"/>
                <w:sz w:val="20"/>
                <w:szCs w:val="20"/>
                <w:vertAlign w:val="baseline"/>
              </w:rPr>
              <w:t xml:space="preserve"> Estará impedida de participar do consórcio a empresa na qual figure, entre seus diretores, responsáveis técnicos ou sócios, pessoa que seja funcionário, diretor, responsável técnico ou sócio de outra empresa consorciada.</w:t>
            </w:r>
          </w:p>
          <w:p>
            <w:pPr>
              <w:pStyle w:val="Normal1"/>
              <w:shd w:val="clear" w:fill="FFFF00"/>
              <w:spacing w:lineRule="auto" w:line="240" w:before="0" w:after="0"/>
              <w:ind w:right="-1"/>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vertAlign w:val="baseline"/>
              </w:rPr>
              <w:t>7.10</w:t>
            </w:r>
            <w:r>
              <w:rPr>
                <w:rFonts w:eastAsia="Arial" w:cs="Arial" w:ascii="Arial" w:hAnsi="Arial"/>
                <w:b w:val="false"/>
                <w:i w:val="false"/>
                <w:caps w:val="false"/>
                <w:smallCaps w:val="false"/>
                <w:strike w:val="false"/>
                <w:dstrike w:val="false"/>
                <w:position w:val="0"/>
                <w:sz w:val="20"/>
                <w:sz w:val="20"/>
                <w:szCs w:val="20"/>
                <w:vertAlign w:val="baseline"/>
              </w:rPr>
              <w:t xml:space="preserve"> Tratando-se de consórcio, o licitante vencedor fica obrigado a promover, antes da celebração do contrato, a constituição e o registro do consórcio no órgão oficial competente, nos termos do compromisso.”</w:t>
            </w:r>
          </w:p>
          <w:p>
            <w:pPr>
              <w:pStyle w:val="Normal1"/>
              <w:shd w:val="clear" w:fill="FFFF00"/>
              <w:spacing w:lineRule="auto" w:line="240" w:before="0"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00"/>
              <w:spacing w:lineRule="auto" w:line="240" w:before="0" w:after="0"/>
              <w:ind w:right="-1"/>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1"/>
              <w:shd w:val="clear" w:fill="FFFF00"/>
              <w:spacing w:lineRule="auto" w:line="240" w:before="0" w:after="0"/>
              <w:ind w:right="-1"/>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p>
            <w:pPr>
              <w:pStyle w:val="Normal1"/>
              <w:shd w:val="clear" w:fill="FFFF00"/>
              <w:spacing w:lineRule="auto" w:line="240" w:before="0" w:after="0"/>
              <w:ind w:right="-1"/>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position w:val="0"/>
                <w:sz w:val="20"/>
                <w:sz w:val="20"/>
                <w:szCs w:val="20"/>
                <w:vertAlign w:val="baseline"/>
              </w:rPr>
              <w:t>7.1</w:t>
            </w:r>
            <w:r>
              <w:rPr>
                <w:rFonts w:eastAsia="Arial" w:cs="Arial" w:ascii="Arial" w:hAnsi="Arial"/>
                <w:b w:val="false"/>
                <w:i w:val="false"/>
                <w:caps w:val="false"/>
                <w:smallCaps w:val="false"/>
                <w:strike w:val="false"/>
                <w:dstrike w:val="false"/>
                <w:position w:val="0"/>
                <w:sz w:val="20"/>
                <w:sz w:val="20"/>
                <w:szCs w:val="20"/>
                <w:vertAlign w:val="baseline"/>
              </w:rPr>
              <w:t xml:space="preserve"> Não será permitida a participação de empresas em regime de consórcio, conforme justificativa técnica e econômica constante do procedimento administrativo.”</w:t>
            </w:r>
          </w:p>
        </w:tc>
      </w:tr>
    </w:tbl>
    <w:p>
      <w:pPr>
        <w:pStyle w:val="Normal1"/>
        <w:shd w:val="clear" w:fill="FFFFFF"/>
        <w:spacing w:lineRule="auto" w:line="240" w:before="57" w:after="0"/>
        <w:ind w:right="-1"/>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bl>
      <w:tblPr>
        <w:tblStyle w:val="Table24"/>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jc w:val="both"/>
              <w:rPr>
                <w:rFonts w:ascii="Arial" w:hAnsi="Arial" w:eastAsia="Arial" w:cs="Arial"/>
                <w:b/>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rPr>
              <w:t>8</w:t>
            </w:r>
            <w:r>
              <w:rPr>
                <w:smallCaps w:val="false"/>
                <w:caps w:val="false"/>
                <w:dstrike w:val="false"/>
                <w:strike w:val="false"/>
                <w:vertAlign w:val="baseline"/>
                <w:position w:val="0"/>
                <w:sz w:val="20"/>
                <w:sz w:val="20"/>
                <w:i w:val="false"/>
                <w:b/>
                <w:szCs w:val="20"/>
                <w:highlight w:val="yellow"/>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highlight w:val="yellow"/>
                <w:vertAlign w:val="baseline"/>
              </w:rPr>
              <w:t>:</w:t>
            </w:r>
          </w:p>
          <w:p>
            <w:pPr>
              <w:pStyle w:val="Normal1"/>
              <w:shd w:val="clear" w:fill="FFFF00"/>
              <w:spacing w:lineRule="auto" w:line="240" w:before="0" w:after="0"/>
              <w:jc w:val="both"/>
              <w:rPr>
                <w:rFonts w:ascii="Arial" w:hAnsi="Arial" w:eastAsia="Arial" w:cs="Arial"/>
                <w:position w:val="0"/>
                <w:sz w:val="20"/>
                <w:sz w:val="20"/>
                <w:szCs w:val="20"/>
                <w:highlight w:val="yellow"/>
                <w:vertAlign w:val="baseline"/>
              </w:rPr>
            </w:pPr>
            <w:r>
              <w:rPr>
                <w:rFonts w:eastAsia="Arial" w:cs="Arial" w:ascii="Arial" w:hAnsi="Arial"/>
                <w:b/>
                <w:i w:val="false"/>
                <w:caps w:val="false"/>
                <w:smallCaps w:val="false"/>
                <w:strike w:val="false"/>
                <w:dstrike w:val="false"/>
                <w:position w:val="0"/>
                <w:sz w:val="20"/>
                <w:sz w:val="20"/>
                <w:szCs w:val="20"/>
                <w:highlight w:val="yellow"/>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yellow"/>
                <w:vertAlign w:val="baseline"/>
              </w:rPr>
              <w:t>A participação de empresas em consórcio não implica necessariamente na ampliação da competitividade. Pode ter o efeito oposto, pois, em tese, favoreceria a dominação do mercado, a partir de acordos entre os empresários. O consórcio amplia a competitividade apenas nas hipóteses em que poucas empresas estariam aptas a preencher as condições exigidas para a licitação, seja em decorrência da complexidade do objeto e/ou das circunstâncias de mercado.</w:t>
            </w:r>
          </w:p>
        </w:tc>
      </w:tr>
    </w:tbl>
    <w:p>
      <w:pPr>
        <w:pStyle w:val="Normal1"/>
        <w:shd w:val="clear" w:fill="FFFFFF"/>
        <w:spacing w:lineRule="auto" w:line="240" w:before="57" w:after="0"/>
        <w:ind w:right="-1"/>
        <w:rPr>
          <w:rFonts w:ascii="Arial" w:hAnsi="Arial" w:eastAsia="Arial" w:cs="Arial"/>
          <w:b/>
          <w:color w:val="0000FF"/>
          <w:position w:val="0"/>
          <w:sz w:val="20"/>
          <w:sz w:val="20"/>
          <w:szCs w:val="20"/>
          <w:highlight w:val="white"/>
          <w:vertAlign w:val="baseline"/>
        </w:rPr>
      </w:pPr>
      <w:r>
        <w:rPr>
          <w:rFonts w:eastAsia="Arial" w:cs="Arial" w:ascii="Arial" w:hAnsi="Arial"/>
          <w:b/>
          <w:color w:val="0000FF"/>
          <w:position w:val="0"/>
          <w:sz w:val="20"/>
          <w:sz w:val="20"/>
          <w:szCs w:val="20"/>
          <w:highlight w:val="white"/>
          <w:vertAlign w:val="baseline"/>
        </w:rPr>
      </w:r>
    </w:p>
    <w:tbl>
      <w:tblPr>
        <w:tblStyle w:val="Table2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0" w:after="0"/>
              <w:ind w:right="-1"/>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8 DA IMPLANTAÇÃO DO PROGRAMA DE INTEGRIDADE:</w:t>
            </w:r>
          </w:p>
          <w:p>
            <w:pPr>
              <w:pStyle w:val="Normal1"/>
              <w:shd w:val="clear" w:fill="FFFFFF"/>
              <w:tabs>
                <w:tab w:val="clear" w:pos="720"/>
                <w:tab w:val="left" w:pos="266" w:leader="none"/>
              </w:tabs>
              <w:spacing w:lineRule="auto" w:line="240" w:before="0" w:after="0"/>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8.1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contratado deverá apresentar o programa de integridade com o cronograma de implantação do citado programa, no prazo de 6 (seis) meses a contar da celebração do contrato.</w:t>
            </w:r>
          </w:p>
          <w:p>
            <w:pPr>
              <w:pStyle w:val="Normal1"/>
              <w:shd w:val="clear" w:fill="FFFFFF"/>
              <w:tabs>
                <w:tab w:val="clear" w:pos="720"/>
                <w:tab w:val="left" w:pos="266" w:leader="none"/>
              </w:tabs>
              <w:spacing w:lineRule="auto" w:line="240" w:before="0" w:after="0"/>
              <w:jc w:val="both"/>
              <w:rPr>
                <w:rFonts w:ascii="Arial" w:hAnsi="Arial" w:eastAsia="Arial" w:cs="Arial"/>
                <w:b/>
                <w:color w:val="000000"/>
                <w:position w:val="0"/>
                <w:sz w:val="20"/>
                <w:sz w:val="20"/>
                <w:szCs w:val="20"/>
                <w:highlight w:val="whit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8.2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O programa de integridade deverá ser elaborado de acordo com o disposto no art. 531 e seguintes do Decreto Estadual n.º 10.086, de 2022, no que couber.</w:t>
            </w:r>
          </w:p>
          <w:p>
            <w:pPr>
              <w:pStyle w:val="Normal1"/>
              <w:shd w:val="clear" w:fill="FFFFFF"/>
              <w:tabs>
                <w:tab w:val="clear" w:pos="720"/>
                <w:tab w:val="left" w:pos="266" w:leader="none"/>
              </w:tabs>
              <w:spacing w:lineRule="auto" w:line="240" w:before="0" w:after="0"/>
              <w:jc w:val="both"/>
              <w:rPr>
                <w:rFonts w:ascii="Arial" w:hAnsi="Arial" w:eastAsia="Arial" w:cs="Arial"/>
                <w:position w:val="0"/>
                <w:sz w:val="22"/>
                <w:sz w:val="22"/>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8.3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Na hipótese de não implantação do programa de integridade de que trata o item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8.1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contratado estará sujeito a multa por inexecução parcial, nos termos previstos no instrumento convocatório e no contrato.</w:t>
            </w:r>
          </w:p>
          <w:p>
            <w:pPr>
              <w:pStyle w:val="Normal1"/>
              <w:shd w:val="clear" w:fill="FFFFFF"/>
              <w:tabs>
                <w:tab w:val="clear" w:pos="720"/>
                <w:tab w:val="left" w:pos="266" w:leader="none"/>
              </w:tabs>
              <w:spacing w:lineRule="auto" w:line="240" w:before="0" w:after="0"/>
              <w:jc w:val="both"/>
              <w:rPr>
                <w:rFonts w:ascii="Arial" w:hAnsi="Arial" w:eastAsia="Arial" w:cs="Arial"/>
                <w:position w:val="0"/>
                <w:sz w:val="22"/>
                <w:sz w:val="22"/>
                <w:vertAlign w:val="baseline"/>
              </w:rPr>
            </w:pPr>
            <w:r>
              <w:rPr>
                <w:rFonts w:eastAsia="Arial" w:cs="Arial" w:ascii="Arial" w:hAnsi="Arial"/>
                <w:position w:val="0"/>
                <w:sz w:val="22"/>
                <w:sz w:val="22"/>
                <w:vertAlign w:val="baseline"/>
              </w:rPr>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position w:val="0"/>
          <w:sz w:val="22"/>
          <w:sz w:val="22"/>
          <w:vertAlign w:val="baseline"/>
        </w:rPr>
      </w:pPr>
      <w:r>
        <w:rPr>
          <w:rFonts w:eastAsia="Arial" w:cs="Arial" w:ascii="Arial" w:hAnsi="Arial"/>
          <w:position w:val="0"/>
          <w:sz w:val="22"/>
          <w:sz w:val="22"/>
          <w:vertAlign w:val="baseline"/>
        </w:rPr>
      </w:r>
    </w:p>
    <w:tbl>
      <w:tblPr>
        <w:tblStyle w:val="Table2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jc w:val="both"/>
              <w:rPr>
                <w:rFonts w:ascii="Arial" w:hAnsi="Arial" w:eastAsia="Arial" w:cs="Arial"/>
                <w:b/>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fldChar w:fldCharType="begin"/>
            </w:r>
            <w:r>
              <w:rPr>
                <w:smallCaps w:val="false"/>
                <w:caps w:val="false"/>
                <w:dstrike w:val="false"/>
                <w:strike w:val="false"/>
                <w:vertAlign w:val="baseline"/>
                <w:position w:val="0"/>
                <w:sz w:val="20"/>
                <w:sz w:val="20"/>
                <w:i w:val="false"/>
                <w:b/>
                <w:szCs w:val="20"/>
                <w:highlight w:val="yellow"/>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highlight w:val="yellow"/>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highlight w:val="yellow"/>
                <w:rFonts w:eastAsia="Arial" w:cs="Arial" w:ascii="Arial" w:hAnsi="Arial"/>
                <w:color w:val="000000"/>
              </w:rPr>
              <w:t>9</w:t>
            </w:r>
            <w:r>
              <w:rPr>
                <w:smallCaps w:val="false"/>
                <w:caps w:val="false"/>
                <w:dstrike w:val="false"/>
                <w:strike w:val="false"/>
                <w:vertAlign w:val="baseline"/>
                <w:position w:val="0"/>
                <w:sz w:val="20"/>
                <w:sz w:val="20"/>
                <w:i w:val="false"/>
                <w:b/>
                <w:szCs w:val="20"/>
                <w:highlight w:val="yellow"/>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w:t>
            </w:r>
          </w:p>
          <w:p>
            <w:pPr>
              <w:pStyle w:val="Normal1"/>
              <w:shd w:val="clear" w:fill="FFFF00"/>
              <w:spacing w:lineRule="auto" w:line="240" w:before="0" w:after="57"/>
              <w:ind w:firstLine="9" w:left="-9" w:right="0"/>
              <w:jc w:val="both"/>
              <w:rPr>
                <w:rFonts w:ascii="Arial" w:hAnsi="Arial" w:eastAsia="Arial" w:cs="Arial"/>
                <w:color w:val="000000"/>
                <w:position w:val="0"/>
                <w:sz w:val="20"/>
                <w:sz w:val="20"/>
                <w:szCs w:val="20"/>
                <w:highlight w:val="yellow"/>
                <w:vertAlign w:val="baseline"/>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0"/>
              <w:jc w:val="both"/>
              <w:rPr>
                <w:rFonts w:ascii="Arial" w:hAnsi="Arial" w:eastAsia="Arial" w:cs="Arial"/>
                <w:color w:val="000000"/>
                <w:position w:val="0"/>
                <w:sz w:val="22"/>
                <w:sz w:val="22"/>
                <w:highlight w:val="yellow"/>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Nos casos de contratações e fornecimentos de grande vulto, deverão ser inseridos os itens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8.1</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a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8.3</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em atenção ao disposto no §4º do art. 25 da Lei Federal n.º 14.133, de 2021.</w:t>
            </w:r>
          </w:p>
          <w:p>
            <w:pPr>
              <w:pStyle w:val="Normal1"/>
              <w:shd w:val="clear" w:fill="FFFF00"/>
              <w:spacing w:lineRule="auto" w:line="240" w:before="0" w:after="0"/>
              <w:jc w:val="both"/>
              <w:rPr>
                <w:position w:val="0"/>
                <w:sz w:val="22"/>
                <w:sz w:val="22"/>
                <w:vertAlign w:val="baseline"/>
              </w:rPr>
            </w:pPr>
            <w:r>
              <w:rPr>
                <w:rFonts w:eastAsia="Arial" w:cs="Arial" w:ascii="Arial" w:hAnsi="Arial"/>
                <w:b w:val="false"/>
                <w:i w:val="false"/>
                <w:caps w:val="false"/>
                <w:smallCaps w:val="false"/>
                <w:strike w:val="false"/>
                <w:dstrike w:val="false"/>
                <w:color w:val="000000"/>
                <w:position w:val="0"/>
                <w:sz w:val="22"/>
                <w:sz w:val="22"/>
                <w:highlight w:val="yellow"/>
                <w:vertAlign w:val="baseline"/>
              </w:rPr>
              <w:t>C</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aso não seja de grande vulto, este item deverá ser excluído e ajustada a numeração sequencial.</w:t>
            </w:r>
          </w:p>
        </w:tc>
      </w:tr>
    </w:tbl>
    <w:p>
      <w:pPr>
        <w:pStyle w:val="Normal1"/>
        <w:keepNext w:val="false"/>
        <w:keepLines w:val="false"/>
        <w:pageBreakBefore w:val="false"/>
        <w:widowControl w:val="false"/>
        <w:shd w:val="clear" w:fill="auto"/>
        <w:spacing w:lineRule="auto" w:line="276" w:before="0" w:after="0"/>
        <w:ind w:hanging="0" w:left="0" w:right="0"/>
        <w:jc w:val="left"/>
        <w:rPr>
          <w:position w:val="0"/>
          <w:sz w:val="22"/>
          <w:sz w:val="22"/>
          <w:vertAlign w:val="baseline"/>
        </w:rPr>
      </w:pPr>
      <w:r>
        <w:rPr>
          <w:position w:val="0"/>
          <w:sz w:val="22"/>
          <w:sz w:val="22"/>
          <w:vertAlign w:val="baseline"/>
        </w:rPr>
      </w:r>
    </w:p>
    <w:tbl>
      <w:tblPr>
        <w:tblStyle w:val="Table27"/>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8" w:space="0" w:color="000000"/>
              <w:left w:val="single" w:sz="8" w:space="0" w:color="000000"/>
              <w:bottom w:val="single" w:sz="8" w:space="0" w:color="000000"/>
              <w:right w:val="single" w:sz="8" w:space="0" w:color="000000"/>
            </w:tcBorders>
            <w:shd w:fill="auto" w:val="clear"/>
          </w:tcPr>
          <w:p>
            <w:pPr>
              <w:pStyle w:val="Normal1"/>
              <w:shd w:val="clear" w:fill="FFFFFF"/>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0"/>
                <w:sz w:val="20"/>
                <w:szCs w:val="20"/>
                <w:highlight w:val="white"/>
                <w:vertAlign w:val="baseline"/>
              </w:rPr>
              <w:t>9 ANEXOS:</w:t>
            </w:r>
          </w:p>
          <w:p>
            <w:pPr>
              <w:pStyle w:val="Normal1"/>
              <w:shd w:val="clear" w:fill="FFFFFF"/>
              <w:spacing w:lineRule="auto" w:line="240" w:before="57" w:after="0"/>
              <w:ind w:right="-1"/>
              <w:jc w:val="both"/>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bl>
            <w:tblPr>
              <w:tblStyle w:val="Table28"/>
              <w:tblW w:w="9017" w:type="dxa"/>
              <w:jc w:val="left"/>
              <w:tblInd w:w="0" w:type="dxa"/>
              <w:tblLayout w:type="fixed"/>
              <w:tblCellMar>
                <w:top w:w="0" w:type="dxa"/>
                <w:left w:w="108" w:type="dxa"/>
                <w:bottom w:w="0" w:type="dxa"/>
                <w:right w:w="108" w:type="dxa"/>
              </w:tblCellMar>
              <w:tblLook w:val="0000"/>
            </w:tblPr>
            <w:tblGrid>
              <w:gridCol w:w="1693"/>
              <w:gridCol w:w="279"/>
              <w:gridCol w:w="7045"/>
            </w:tblGrid>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ind w:hanging="0" w:left="1"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do Contrato Administrativo</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da Ordem de Serviço</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Carta Proposta de Preços</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IV</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Microempresa ou Empresa de Pequeno Porte</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Responsabilidade Técnica</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Cumprimento de Exigências Legais e Constitucionais</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do Termo de Ciência das Condições Locais (Vistoria)</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Compromisso de Utilização de Produtos e Subprodutos de Madeira e de Gerenciamento de Resíduos da Construção Civil</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IX</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Atendimento aos Requisitos de Habilitação e Capacidade Operacional Financeira</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 de Encargos Sociais Sobre Custos da Mão de Obra Horista</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Planilha para Cálculo do BDI</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keepNext w:val="false"/>
                    <w:keepLines w:val="false"/>
                    <w:widowControl w:val="false"/>
                    <w:shd w:val="clear" w:fill="FFFFFF"/>
                    <w:spacing w:lineRule="auto" w:line="240" w:before="57" w:after="0"/>
                    <w:ind w:hanging="0" w:left="0" w:right="0"/>
                    <w:jc w:val="both"/>
                    <w:rPr>
                      <w:rFonts w:ascii="Liberation Serif" w:hAnsi="Liberation Serif" w:eastAsia="Liberation Serif" w:cs="Liberation Serif"/>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Planilha(s) do BDI Referencial</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XIII</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Orçamentária(s) de Referência</w:t>
                  </w:r>
                </w:p>
              </w:tc>
            </w:tr>
            <w:tr>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XIV</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Elemento(s) Técnico(s) Instrutor(es)</w:t>
                  </w:r>
                </w:p>
              </w:tc>
            </w:tr>
            <w:tr>
              <w:trPr>
                <w:trHeight w:val="400" w:hRule="atLeast"/>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w:t>
                  </w:r>
                </w:p>
              </w:tc>
              <w:tc>
                <w:tcPr>
                  <w:tcW w:w="279" w:type="dxa"/>
                  <w:tcBorders/>
                  <w:shd w:fill="auto" w:val="clear"/>
                </w:tcPr>
                <w:p>
                  <w:pPr>
                    <w:pStyle w:val="Normal1"/>
                    <w:widowControl w:val="false"/>
                    <w:shd w:val="clear" w:fill="FFFFFF"/>
                    <w:spacing w:lineRule="auto" w:line="240" w:before="57" w:after="0"/>
                    <w:jc w:val="center"/>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Documentos de Habilitação</w:t>
                  </w:r>
                </w:p>
              </w:tc>
            </w:tr>
            <w:tr>
              <w:trPr>
                <w:trHeight w:val="400" w:hRule="atLeast"/>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XVI</w:t>
                  </w:r>
                </w:p>
              </w:tc>
              <w:tc>
                <w:tcPr>
                  <w:tcW w:w="279" w:type="dxa"/>
                  <w:tcBorders/>
                  <w:shd w:fill="auto" w:val="clea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LGPD</w:t>
                  </w:r>
                </w:p>
              </w:tc>
            </w:tr>
            <w:tr>
              <w:trPr>
                <w:trHeight w:val="400" w:hRule="atLeast"/>
              </w:trPr>
              <w:tc>
                <w:tcPr>
                  <w:tcW w:w="1693" w:type="dxa"/>
                  <w:tcBorders/>
                  <w:shd w:fill="auto" w:val="clear"/>
                </w:tcPr>
                <w:p>
                  <w:pPr>
                    <w:pStyle w:val="Normal1"/>
                    <w:widowControl w:val="false"/>
                    <w:shd w:val="clear" w:fill="FFFFFF"/>
                    <w:tabs>
                      <w:tab w:val="clear" w:pos="720"/>
                      <w:tab w:val="left" w:pos="1134" w:leader="none"/>
                    </w:tabs>
                    <w:spacing w:lineRule="auto" w:line="240" w:before="57" w:after="0"/>
                    <w:ind w:hanging="0" w:left="567" w:right="0"/>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XVII</w:t>
                  </w:r>
                </w:p>
              </w:tc>
              <w:tc>
                <w:tcPr>
                  <w:tcW w:w="279" w:type="dxa"/>
                  <w:tcBorders/>
                  <w:shd w:fill="auto" w:val="clea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7045" w:type="dxa"/>
                  <w:tcBorders/>
                  <w:shd w:fill="auto" w:val="clear"/>
                </w:tcPr>
                <w:p>
                  <w:pPr>
                    <w:pStyle w:val="Normal1"/>
                    <w:widowControl w:val="false"/>
                    <w:shd w:val="clear" w:fill="FFFFFF"/>
                    <w:spacing w:lineRule="auto" w:line="240" w:before="57" w:after="0"/>
                    <w:jc w:val="both"/>
                    <w:rPr>
                      <w:position w:val="0"/>
                      <w:sz w:val="22"/>
                      <w:sz w:val="22"/>
                      <w:vertAlign w:val="baseline"/>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Regramento para Elaboração do Programa de Integridade</w:t>
                  </w:r>
                </w:p>
              </w:tc>
            </w:tr>
          </w:tbl>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ind w:right="-1"/>
        <w:jc w:val="center"/>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r>
        <w:br w:type="page"/>
      </w:r>
    </w:p>
    <w:p>
      <w:pPr>
        <w:pStyle w:val="Normal1"/>
        <w:shd w:val="clear" w:fill="FFFFFF"/>
        <w:spacing w:lineRule="auto" w:line="240" w:before="0" w:after="0"/>
        <w:ind w:right="-1"/>
        <w:jc w:val="center"/>
        <w:rPr>
          <w:rFonts w:ascii="Arial" w:hAnsi="Arial" w:eastAsia="Arial" w:cs="Arial"/>
          <w:b/>
          <w:position w:val="0"/>
          <w:sz w:val="20"/>
          <w:sz w:val="20"/>
          <w:szCs w:val="20"/>
          <w:highlight w:val="white"/>
          <w:u w:val="single"/>
          <w:vertAlign w:val="baseline"/>
        </w:rPr>
      </w:pPr>
      <w:r>
        <w:rPr>
          <w:rFonts w:eastAsia="Arial" w:cs="Arial" w:ascii="Arial" w:hAnsi="Arial"/>
          <w:b/>
          <w:position w:val="0"/>
          <w:sz w:val="20"/>
          <w:sz w:val="20"/>
          <w:szCs w:val="20"/>
          <w:highlight w:val="white"/>
          <w:u w:val="single"/>
          <w:vertAlign w:val="baseline"/>
        </w:rPr>
      </w:r>
    </w:p>
    <w:p>
      <w:pPr>
        <w:pStyle w:val="Normal1"/>
        <w:shd w:val="clear" w:fill="FFFFFF"/>
        <w:spacing w:lineRule="auto" w:line="240" w:before="57" w:after="0"/>
        <w:ind w:right="-1"/>
        <w:jc w:val="center"/>
        <w:rPr>
          <w:rFonts w:ascii="Arial" w:hAnsi="Arial" w:eastAsia="Arial" w:cs="Arial"/>
          <w:b/>
          <w:position w:val="0"/>
          <w:sz w:val="20"/>
          <w:sz w:val="20"/>
          <w:szCs w:val="20"/>
          <w:highlight w:val="white"/>
          <w:vertAlign w:val="baseline"/>
        </w:rPr>
      </w:pPr>
      <w:r>
        <w:rPr>
          <w:rFonts w:eastAsia="Arial" w:cs="Arial" w:ascii="Arial" w:hAnsi="Arial"/>
          <w:b/>
          <w:i w:val="false"/>
          <w:caps w:val="false"/>
          <w:smallCaps w:val="false"/>
          <w:strike w:val="false"/>
          <w:dstrike w:val="false"/>
          <w:position w:val="0"/>
          <w:sz w:val="24"/>
          <w:sz w:val="24"/>
          <w:szCs w:val="24"/>
          <w:highlight w:val="white"/>
          <w:u w:val="single"/>
          <w:vertAlign w:val="baseline"/>
        </w:rPr>
        <w:t>CONDIÇÕES GERAIS DO PREGÃO</w:t>
      </w:r>
    </w:p>
    <w:p>
      <w:pPr>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1134" w:gutter="0" w:header="1701" w:top="3232" w:footer="1134" w:bottom="1191"/>
          <w:pgNumType w:start="1" w:fmt="decimal"/>
          <w:formProt w:val="false"/>
          <w:textDirection w:val="lrTb"/>
          <w:docGrid w:type="default" w:linePitch="100" w:charSpace="0"/>
        </w:sectPr>
      </w:pPr>
    </w:p>
    <w:p>
      <w:pPr>
        <w:pStyle w:val="Normal1"/>
        <w:shd w:val="clear" w:fill="FFFFFF"/>
        <w:spacing w:lineRule="auto" w:line="240" w:before="57" w:after="57"/>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 A REALIZAÇÃO DO PREGÃO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1.1 </w:t>
      </w:r>
      <w:r>
        <w:rPr>
          <w:rFonts w:eastAsia="Arial" w:cs="Arial" w:ascii="Arial" w:hAnsi="Arial"/>
          <w:b w:val="false"/>
          <w:i w:val="false"/>
          <w:caps w:val="false"/>
          <w:smallCaps w:val="false"/>
          <w:strike w:val="false"/>
          <w:dstrike w:val="false"/>
          <w:position w:val="0"/>
          <w:sz w:val="20"/>
          <w:sz w:val="20"/>
          <w:szCs w:val="20"/>
          <w:highlight w:val="white"/>
          <w:vertAlign w:val="baseline"/>
        </w:rPr>
        <w:t>O pregão será realizado por meio eletrônico, no sistema de compras eletrônicas do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na página </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C9211E"/>
          <w:position w:val="0"/>
          <w:sz w:val="20"/>
          <w:sz w:val="20"/>
          <w:szCs w:val="20"/>
          <w:highlight w:val="white"/>
          <w:vertAlign w:val="baseline"/>
        </w:rPr>
        <w:t>.</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1.2 </w:t>
      </w:r>
      <w:r>
        <w:rPr>
          <w:rFonts w:eastAsia="Arial" w:cs="Arial" w:ascii="Arial" w:hAnsi="Arial"/>
          <w:b w:val="false"/>
          <w:i w:val="false"/>
          <w:caps w:val="false"/>
          <w:smallCaps w:val="false"/>
          <w:strike w:val="false"/>
          <w:dstrike w:val="false"/>
          <w:position w:val="0"/>
          <w:sz w:val="20"/>
          <w:sz w:val="20"/>
          <w:szCs w:val="20"/>
          <w:highlight w:val="white"/>
          <w:vertAlign w:val="baseline"/>
        </w:rPr>
        <w:t>O pregão será conduzido por servidor(a) público(a) denominado(a) pregoeiro(a), mediante a inserção e o monitoramento de dados gerados ou transferidos para o sistema de compras eletrônicas adotado pela Administração estadual</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1.3 </w:t>
      </w:r>
      <w:r>
        <w:rPr>
          <w:rFonts w:eastAsia="Arial" w:cs="Arial" w:ascii="Arial" w:hAnsi="Arial"/>
          <w:b w:val="false"/>
          <w:i w:val="false"/>
          <w:caps w:val="false"/>
          <w:smallCaps w:val="false"/>
          <w:strike w:val="false"/>
          <w:dstrike w:val="false"/>
          <w:position w:val="0"/>
          <w:sz w:val="20"/>
          <w:sz w:val="20"/>
          <w:szCs w:val="20"/>
          <w:highlight w:val="white"/>
          <w:vertAlign w:val="baseline"/>
        </w:rPr>
        <w:t>O(a) pregoeiro(a) exercerá as atribuições previstas no artigo 4.º do Decreto n.º 10.086, de 2022.</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1.4 </w:t>
      </w:r>
      <w:r>
        <w:rPr>
          <w:rFonts w:eastAsia="Arial" w:cs="Arial" w:ascii="Arial" w:hAnsi="Arial"/>
          <w:b w:val="false"/>
          <w:i w:val="false"/>
          <w:caps w:val="false"/>
          <w:smallCaps w:val="false"/>
          <w:strike w:val="false"/>
          <w:dstrike w:val="false"/>
          <w:position w:val="0"/>
          <w:sz w:val="20"/>
          <w:sz w:val="20"/>
          <w:szCs w:val="20"/>
          <w:highlight w:val="white"/>
          <w:vertAlign w:val="baseline"/>
        </w:rPr>
        <w:t>Para acesso ao sistema de compras eletrônicas, os interessados deverão se credenciar e obter chave de identificação e senha pessoal do sistema de compras eletrônicas do para 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conforme instruções que podem ser obtidas na página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ou, ainda, por meio dos telef</w:t>
      </w:r>
      <w:r>
        <w:rPr>
          <w:rFonts w:eastAsia="Arial" w:cs="Arial" w:ascii="Arial" w:hAnsi="Arial"/>
          <w:b w:val="false"/>
          <w:i w:val="false"/>
          <w:caps w:val="false"/>
          <w:smallCaps w:val="false"/>
          <w:strike w:val="false"/>
          <w:dstrike w:val="false"/>
          <w:position w:val="0"/>
          <w:sz w:val="20"/>
          <w:sz w:val="20"/>
          <w:szCs w:val="20"/>
          <w:vertAlign w:val="baseline"/>
        </w:rPr>
        <w:t xml:space="preserve">ones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para Capitais e Regiões Metropolitanas 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 para demais localidades (suporte técnico).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1.4.1 </w:t>
      </w:r>
      <w:r>
        <w:rPr>
          <w:rFonts w:eastAsia="Arial" w:cs="Arial" w:ascii="Arial" w:hAnsi="Arial"/>
          <w:b w:val="false"/>
          <w:i w:val="false"/>
          <w:caps w:val="false"/>
          <w:smallCaps w:val="false"/>
          <w:strike w:val="false"/>
          <w:dstrike w:val="false"/>
          <w:position w:val="0"/>
          <w:sz w:val="20"/>
          <w:sz w:val="20"/>
          <w:szCs w:val="20"/>
          <w:highlight w:val="white"/>
          <w:vertAlign w:val="baseline"/>
        </w:rPr>
        <w:t>O credenciamento do interessado e de seu representante junto ao o sistema de compras eletrônicas adotado pela Administração estadual [</w:t>
      </w:r>
      <w:r>
        <w:rPr>
          <w:rFonts w:eastAsia="Arial" w:cs="Arial" w:ascii="Arial" w:hAnsi="Arial"/>
          <w:b w:val="false"/>
          <w:i w:val="false"/>
          <w:caps w:val="false"/>
          <w:smallCaps w:val="false"/>
          <w:strike w:val="false"/>
          <w:dstrike w:val="false"/>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implica a sua responsabilidade legal pelos atos praticados e presunção de capacidade para a realização das transações inerentes ao pregão eletrônico.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1.5 </w:t>
      </w:r>
      <w:r>
        <w:rPr>
          <w:rFonts w:eastAsia="Arial" w:cs="Arial" w:ascii="Arial" w:hAnsi="Arial"/>
          <w:b w:val="false"/>
          <w:i w:val="false"/>
          <w:caps w:val="false"/>
          <w:smallCaps w:val="false"/>
          <w:strike w:val="false"/>
          <w:dstrike w:val="false"/>
          <w:position w:val="0"/>
          <w:sz w:val="20"/>
          <w:sz w:val="20"/>
          <w:szCs w:val="20"/>
          <w:highlight w:val="white"/>
          <w:vertAlign w:val="baseline"/>
        </w:rPr>
        <w:t>Cabe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hd w:val="clear" w:fill="FFFFFF"/>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29"/>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O endereço eletrônico para recebimento e abertura de propostas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w:t>
            </w:r>
            <w:r>
              <w:rPr>
                <w:rFonts w:eastAsia="Arial" w:cs="Arial" w:ascii="Arial" w:hAnsi="Arial"/>
                <w:b w:val="false"/>
                <w:i w:val="false"/>
                <w:caps w:val="false"/>
                <w:smallCaps w:val="false"/>
                <w:strike w:val="false"/>
                <w:dstrike w:val="false"/>
                <w:color w:val="000000"/>
                <w:position w:val="0"/>
                <w:sz w:val="20"/>
                <w:sz w:val="20"/>
                <w:szCs w:val="20"/>
                <w:highlight w:val="yellow"/>
                <w:u w:val="single"/>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pode ser adequado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de acordo com o sistema adota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do pelo Órgão/Entidade Estadual, po</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dendo ser adequada a redação dos itens 1.1, 1.2, 1.4 e 1.4.1.</w:t>
            </w:r>
          </w:p>
          <w:p>
            <w:pPr>
              <w:pStyle w:val="Normal1"/>
              <w:shd w:val="clear" w:fill="FFFF00"/>
              <w:spacing w:lineRule="auto" w:line="240" w:before="0" w:after="57"/>
              <w:ind w:hanging="0"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position w:val="0"/>
          <w:sz w:val="20"/>
          <w:sz w:val="20"/>
          <w:szCs w:val="20"/>
          <w:highlight w:val="white"/>
          <w:vertAlign w:val="baseline"/>
        </w:rPr>
        <w:t>EXIGÊNCIAS PARA PARTICIPAÇÃO</w:t>
      </w:r>
    </w:p>
    <w:p>
      <w:pPr>
        <w:pStyle w:val="Normal1"/>
        <w:shd w:val="clear" w:fill="FFFFFF"/>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0"/>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rFonts w:eastAsia="Arial" w:cs="Arial" w:ascii="Arial" w:hAnsi="Arial"/>
                <w:color w:val="000000"/>
              </w:rPr>
              <w:t>11</w:t>
            </w:r>
            <w:r>
              <w:rPr>
                <w:smallCaps w:val="false"/>
                <w:caps w:val="false"/>
                <w:dstrike w:val="false"/>
                <w:strike w:val="false"/>
                <w:vertAlign w:val="baseline"/>
                <w:position w:val="0"/>
                <w:sz w:val="20"/>
                <w:sz w:val="20"/>
                <w:i w:val="fals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artigo 87, § 3.º da Lei Federal n.º 14.133/2021 estabelece que a Administração poderá realizar licitação restrita a cadastrados no PNCP.</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Caso a Administração opte por restringir a licitação aos licitantes cadastrados no PNCP</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deverá ser</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utilizada a seguinte redação: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2.1 Poderão participar deste Pregão interessados cujo ramo de atividade seja compatível com o objeto desta licitação, que estejam com cadastro regular no Portal Nacional de Contratações Pública – PNCP e que apresentem os documentos exigidos para habilitação.</w:t>
            </w:r>
          </w:p>
          <w:p>
            <w:pPr>
              <w:pStyle w:val="Normal1"/>
              <w:shd w:val="clear" w:fill="FFFF0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interessados deverão efetuar seu cadastro dentro do prazo previsto no edital para apresentação de propostas no Portal Nacional de Contratações Públicas – PNCP e que trata a Lei Federal nº 14.133/2021, de 2021, recomenda-se também a prévia inscrição no Cadastro Unificado de Fornecedores do Estado do Paraná – CFPR, por intermédio do portal de Compras do Governo do Estado do Paraná (www.comprasparana.pr.gov.br), nos termos do Decreto Estadual nº 9.762, de 2013.</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Caso a Administração opte por não restringir a licitação aos licitantes cadastrados no PNCP deverá ser utilizada a seguinte redação:</w:t>
            </w:r>
          </w:p>
          <w:p>
            <w:pPr>
              <w:pStyle w:val="Normal1"/>
              <w:shd w:val="clear" w:fill="FFFF00"/>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2.1</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Poderão participar deste Pregão interessados cujo ramo de atividade seja compatível com o objeto desta licitação e q</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ue apresentem os documentos exigidos para habilitação.</w:t>
            </w:r>
          </w:p>
        </w:tc>
      </w:tr>
    </w:tbl>
    <w:p>
      <w:pPr>
        <w:pStyle w:val="Normal1"/>
        <w:shd w:val="clear" w:fill="FFFFFF"/>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interessados em participar do pregão devem dispor de chave de identificação e senha pessoal do sistema de compras eletrônicas, nos termos do Item 1 do presente Edital.</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 </w:t>
      </w:r>
      <w:r>
        <w:rPr>
          <w:rFonts w:eastAsia="Arial" w:cs="Arial" w:ascii="Arial" w:hAnsi="Arial"/>
          <w:b w:val="false"/>
          <w:i w:val="false"/>
          <w:caps w:val="false"/>
          <w:smallCaps w:val="false"/>
          <w:strike w:val="false"/>
          <w:dstrike w:val="false"/>
          <w:color w:val="000000"/>
          <w:position w:val="0"/>
          <w:sz w:val="20"/>
          <w:sz w:val="20"/>
          <w:szCs w:val="20"/>
          <w:vertAlign w:val="baseline"/>
        </w:rPr>
        <w:t>Não poderão participar desta licitação pessoas físicas ou jurídicas que:</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2.3.1</w:t>
      </w:r>
      <w:r>
        <w:rPr>
          <w:rFonts w:eastAsia="Arial" w:cs="Arial" w:ascii="Arial" w:hAnsi="Arial"/>
          <w:b w:val="false"/>
          <w:i w:val="false"/>
          <w:caps w:val="false"/>
          <w:smallCaps w:val="false"/>
          <w:strike w:val="false"/>
          <w:dstrike w:val="false"/>
          <w:position w:val="0"/>
          <w:sz w:val="20"/>
          <w:sz w:val="20"/>
          <w:szCs w:val="20"/>
          <w:vertAlign w:val="baseline"/>
        </w:rPr>
        <w:t xml:space="preserve"> t</w:t>
      </w:r>
      <w:r>
        <w:rPr>
          <w:rFonts w:eastAsia="Arial" w:cs="Arial" w:ascii="Arial" w:hAnsi="Arial"/>
          <w:b w:val="false"/>
          <w:i w:val="false"/>
          <w:caps w:val="false"/>
          <w:smallCaps w:val="false"/>
          <w:strike w:val="false"/>
          <w:dstrike w:val="false"/>
          <w:color w:val="000000"/>
          <w:position w:val="0"/>
          <w:sz w:val="20"/>
          <w:sz w:val="20"/>
          <w:szCs w:val="20"/>
          <w:vertAlign w:val="baseline"/>
        </w:rPr>
        <w:t>enham sido declaradas inidôneas no âmbito da União, Estados, Distrito Federal e Municípios, em qualquer esfera da Administração Pública;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2.3.2 </w:t>
      </w:r>
      <w:r>
        <w:rPr>
          <w:rFonts w:eastAsia="Arial" w:cs="Arial" w:ascii="Arial" w:hAnsi="Arial"/>
          <w:b w:val="false"/>
          <w:i w:val="false"/>
          <w:caps w:val="false"/>
          <w:smallCaps w:val="false"/>
          <w:strike w:val="false"/>
          <w:dstrike w:val="false"/>
          <w:position w:val="0"/>
          <w:sz w:val="20"/>
          <w:sz w:val="20"/>
          <w:szCs w:val="20"/>
          <w:vertAlign w:val="baseline"/>
        </w:rPr>
        <w:t>c</w:t>
      </w:r>
      <w:r>
        <w:rPr>
          <w:rFonts w:eastAsia="Arial" w:cs="Arial" w:ascii="Arial" w:hAnsi="Arial"/>
          <w:b w:val="false"/>
          <w:i w:val="false"/>
          <w:caps w:val="false"/>
          <w:smallCaps w:val="false"/>
          <w:strike w:val="false"/>
          <w:dstrike w:val="false"/>
          <w:color w:val="000000"/>
          <w:position w:val="0"/>
          <w:sz w:val="20"/>
          <w:sz w:val="20"/>
          <w:szCs w:val="20"/>
          <w:vertAlign w:val="baseline"/>
        </w:rPr>
        <w:t>onstituíram as pessoas jurídicas que foram apenadas conforme item 2.3.1, enquanto perdurarem as causas das penalidades, independentemente de nova pessoa jurídica que vierem a constituir ou de outra em que figurarem como sócios;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2.3.3 </w:t>
      </w:r>
      <w:r>
        <w:rPr>
          <w:rFonts w:eastAsia="Arial" w:cs="Arial" w:ascii="Arial" w:hAnsi="Arial"/>
          <w:b w:val="false"/>
          <w:i w:val="false"/>
          <w:caps w:val="false"/>
          <w:smallCaps w:val="false"/>
          <w:strike w:val="false"/>
          <w:dstrike w:val="false"/>
          <w:color w:val="000000"/>
          <w:position w:val="0"/>
          <w:sz w:val="20"/>
          <w:sz w:val="20"/>
          <w:szCs w:val="20"/>
          <w:vertAlign w:val="baseline"/>
        </w:rPr>
        <w:t>tenham sócios comuns com as pessoas jurídicas referidas no item 2.3.2;</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2.3.4 </w:t>
      </w:r>
      <w:r>
        <w:rPr>
          <w:rFonts w:eastAsia="Arial" w:cs="Arial" w:ascii="Arial" w:hAnsi="Arial"/>
          <w:b w:val="false"/>
          <w:i w:val="false"/>
          <w:caps w:val="false"/>
          <w:smallCaps w:val="false"/>
          <w:strike w:val="false"/>
          <w:dstrike w:val="false"/>
          <w:position w:val="0"/>
          <w:sz w:val="20"/>
          <w:sz w:val="20"/>
          <w:szCs w:val="20"/>
          <w:highlight w:val="white"/>
          <w:vertAlign w:val="baseline"/>
        </w:rPr>
        <w:t>n</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ão funcionem no País, se encontrem sob falência, dissolução ou liquidação, bem como as pessoas físicas sob insolvência;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2.3.5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2.3.6</w:t>
      </w:r>
      <w:r>
        <w:rPr>
          <w:rFonts w:eastAsia="Arial" w:cs="Arial" w:ascii="Arial" w:hAnsi="Arial"/>
          <w:b w:val="false"/>
          <w:i w:val="false"/>
          <w:caps w:val="false"/>
          <w:smallCaps w:val="false"/>
          <w:strike w:val="false"/>
          <w:dstrike w:val="false"/>
          <w:position w:val="0"/>
          <w:sz w:val="20"/>
          <w:sz w:val="20"/>
          <w:szCs w:val="20"/>
          <w:vertAlign w:val="baseline"/>
        </w:rPr>
        <w:t xml:space="preserve"> o </w:t>
      </w:r>
      <w:r>
        <w:rPr>
          <w:rFonts w:eastAsia="Arial" w:cs="Arial" w:ascii="Arial" w:hAnsi="Arial"/>
          <w:b w:val="false"/>
          <w:i w:val="false"/>
          <w:caps w:val="false"/>
          <w:smallCaps w:val="false"/>
          <w:strike w:val="false"/>
          <w:dstrike w:val="false"/>
          <w:color w:val="000000"/>
          <w:position w:val="0"/>
          <w:sz w:val="20"/>
          <w:sz w:val="20"/>
          <w:szCs w:val="20"/>
          <w:vertAlign w:val="baseline"/>
        </w:rPr>
        <w:t>servidor ou dirigente de órgão ou entidade estadual, bem como a empresa da qual figurem como sócios, dirigentes ou da qual participem indiretamente.</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2.3.6.1 </w:t>
      </w:r>
      <w:r>
        <w:rPr>
          <w:rFonts w:eastAsia="Arial" w:cs="Arial" w:ascii="Arial" w:hAnsi="Arial"/>
          <w:b w:val="false"/>
          <w:i w:val="false"/>
          <w:caps w:val="false"/>
          <w:smallCaps w:val="false"/>
          <w:strike w:val="false"/>
          <w:dstrike w:val="false"/>
          <w:color w:val="000000"/>
          <w:position w:val="0"/>
          <w:sz w:val="20"/>
          <w:sz w:val="20"/>
          <w:szCs w:val="20"/>
          <w:vertAlign w:val="baseline"/>
        </w:rPr>
        <w:t>Considera-se participação indireta a existência de qualquer vínculo de natureza técnica, comercial, econômica, financeira ou trabalhista.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2.3.7 </w:t>
      </w:r>
      <w:r>
        <w:rPr>
          <w:rFonts w:eastAsia="Arial" w:cs="Arial" w:ascii="Arial" w:hAnsi="Arial"/>
          <w:b w:val="false"/>
          <w:i w:val="false"/>
          <w:caps w:val="false"/>
          <w:smallCaps w:val="false"/>
          <w:strike w:val="false"/>
          <w:dstrike w:val="false"/>
          <w:color w:val="000000"/>
          <w:position w:val="0"/>
          <w:sz w:val="20"/>
          <w:sz w:val="20"/>
          <w:szCs w:val="20"/>
          <w:vertAlign w:val="baseline"/>
        </w:rPr>
        <w:t>As pessoas físicas e jurídicas de que trata o art. 14 da Lei Federal n.º 14.133, de 2021.</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2.4 </w:t>
      </w:r>
      <w:r>
        <w:rPr>
          <w:rFonts w:eastAsia="Arial" w:cs="Arial" w:ascii="Arial" w:hAnsi="Arial"/>
          <w:b w:val="false"/>
          <w:i w:val="false"/>
          <w:caps w:val="false"/>
          <w:smallCaps w:val="false"/>
          <w:strike w:val="false"/>
          <w:dstrike w:val="false"/>
          <w:color w:val="000000"/>
          <w:position w:val="0"/>
          <w:sz w:val="20"/>
          <w:sz w:val="20"/>
          <w:szCs w:val="20"/>
          <w:vertAlign w:val="baseline"/>
        </w:rPr>
        <w:t>A participação nesta licitação implica aceitação das condições estabelecidas no edital e na legislação aplicável.</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2.5 </w:t>
      </w:r>
      <w:r>
        <w:rPr>
          <w:rFonts w:eastAsia="Arial" w:cs="Arial" w:ascii="Arial" w:hAnsi="Arial"/>
          <w:b w:val="false"/>
          <w:i w:val="false"/>
          <w:caps w:val="false"/>
          <w:smallCaps w:val="false"/>
          <w:strike w:val="false"/>
          <w:dstrike w:val="false"/>
          <w:color w:val="000000"/>
          <w:position w:val="0"/>
          <w:sz w:val="20"/>
          <w:sz w:val="20"/>
          <w:szCs w:val="20"/>
          <w:vertAlign w:val="baseline"/>
        </w:rPr>
        <w:t>Além destas condições gerais, deverão ser obedecidas as exigências específicas de participação fixadas no edital.</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pregoeiro(a) verificará o eventual descumprimento das condições de participação, especialmente quanto à existência de sanção que impeça a participação no certame ou a futura contratação.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 DA VISTORIA</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pelo telefone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agendamento deverá ser feito em até dois dias anteriores à data da abertura da sessão do pregão eletrônico.</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3.1.2 </w:t>
      </w:r>
      <w:r>
        <w:rPr>
          <w:rFonts w:eastAsia="Arial" w:cs="Arial" w:ascii="Arial" w:hAnsi="Arial"/>
          <w:b w:val="false"/>
          <w:i w:val="false"/>
          <w:caps w:val="false"/>
          <w:smallCaps w:val="false"/>
          <w:strike w:val="false"/>
          <w:dstrike w:val="false"/>
          <w:color w:val="000000"/>
          <w:position w:val="0"/>
          <w:sz w:val="20"/>
          <w:sz w:val="20"/>
          <w:szCs w:val="20"/>
          <w:vertAlign w:val="baseline"/>
        </w:rPr>
        <w:t>Ainda que os licitantes optem por não realizar a vistoria, deverão apresentar declaração formal assinada pelo responsável técnico do licitante acerca do conhecimento pleno das condições e peculiaridades da contratação, conforme modelo constante no</w:t>
      </w:r>
      <w:r>
        <w:rPr>
          <w:rFonts w:eastAsia="Arial" w:cs="Arial" w:ascii="Arial" w:hAnsi="Arial"/>
          <w:b w:val="false"/>
          <w:i w:val="false"/>
          <w:caps w:val="false"/>
          <w:smallCaps w:val="false"/>
          <w:strike w:val="false"/>
          <w:dstrike w:val="false"/>
          <w:position w:val="0"/>
          <w:sz w:val="20"/>
          <w:sz w:val="20"/>
          <w:szCs w:val="20"/>
          <w:vertAlign w:val="baseline"/>
        </w:rPr>
        <w:t xml:space="preserve"> Anexo VII</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deste Edital.</w:t>
      </w:r>
    </w:p>
    <w:p>
      <w:pPr>
        <w:pStyle w:val="Normal1"/>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12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bookmarkStart w:id="0" w:name="bookmark=id.gjdgxs"/>
          </w:p>
          <w:p>
            <w:pPr>
              <w:pStyle w:val="Normal1"/>
              <w:shd w:val="clear" w:fill="FFFF00"/>
              <w:spacing w:lineRule="auto" w:line="240" w:before="57" w:after="0"/>
              <w:ind w:firstLine="9" w:left="-9" w:right="0"/>
              <w:jc w:val="both"/>
              <w:rPr>
                <w:rFonts w:ascii="Arial" w:hAnsi="Arial"/>
                <w:sz w:val="20"/>
                <w:szCs w:val="20"/>
              </w:rPr>
            </w:pPr>
            <w:bookmarkEnd w:id="0"/>
            <w:r>
              <w:rPr>
                <w:rFonts w:eastAsia="Arial" w:cs="Arial" w:ascii="Arial" w:hAnsi="Arial"/>
                <w:b w:val="false"/>
                <w:i w:val="false"/>
                <w:caps w:val="false"/>
                <w:smallCaps w:val="false"/>
                <w:strike w:val="false"/>
                <w:dstrike w:val="false"/>
                <w:position w:val="0"/>
                <w:sz w:val="20"/>
                <w:sz w:val="20"/>
                <w:szCs w:val="20"/>
                <w:vertAlign w:val="baseline"/>
              </w:rPr>
              <w:t xml:space="preserve">A comissão recomenda fazer nota explicativa que a exigência do termo do anexo VII deve ser avaliada conforme a necessidade que a avaliação prévia do local de execução for imprescindível para o conhecimento pleno das condições e peculiaridades do objeto a ser contratado nos termo do §2 e §3 do art. 63, a nova Lei de Licitações </w:t>
            </w:r>
            <w:bookmarkStart w:id="1" w:name="bookmark=id.30j0zll"/>
            <w:bookmarkEnd w:id="1"/>
            <w:r>
              <w:rPr>
                <w:rFonts w:eastAsia="Arial" w:cs="Arial" w:ascii="Arial" w:hAnsi="Arial"/>
                <w:b w:val="false"/>
                <w:i w:val="false"/>
                <w:caps w:val="false"/>
                <w:smallCaps w:val="false"/>
                <w:strike w:val="false"/>
                <w:dstrike w:val="false"/>
                <w:position w:val="0"/>
                <w:sz w:val="20"/>
                <w:sz w:val="20"/>
                <w:szCs w:val="20"/>
                <w:vertAlign w:val="baseline"/>
              </w:rPr>
              <w:t>.</w:t>
            </w:r>
          </w:p>
        </w:tc>
      </w:tr>
    </w:tbl>
    <w:p>
      <w:pPr>
        <w:pStyle w:val="Normal1"/>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shd w:val="clear" w:fill="FFFFFF"/>
        <w:spacing w:lineRule="auto" w:line="276" w:before="280" w:after="28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3.1.3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3.1.4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pPr>
        <w:pStyle w:val="Normal1"/>
        <w:keepNext w:val="false"/>
        <w:keepLines w:val="false"/>
        <w:pageBreakBefore w:val="false"/>
        <w:widowControl/>
        <w:shd w:val="clear" w:fill="FFFFFF"/>
        <w:spacing w:lineRule="auto" w:line="240" w:before="57" w:after="0"/>
        <w:ind w:hanging="0" w:left="36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32"/>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13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0"/>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De acordo com o art. </w:t>
            </w:r>
            <w:r>
              <w:rPr>
                <w:rFonts w:eastAsia="Arial" w:cs="Arial" w:ascii="Arial" w:hAnsi="Arial"/>
                <w:b w:val="false"/>
                <w:i/>
                <w:caps w:val="false"/>
                <w:smallCaps w:val="false"/>
                <w:strike w:val="false"/>
                <w:dstrike w:val="false"/>
                <w:color w:val="000000"/>
                <w:position w:val="0"/>
                <w:sz w:val="20"/>
                <w:sz w:val="20"/>
                <w:szCs w:val="20"/>
                <w:vertAlign w:val="baseline"/>
              </w:rPr>
              <w:t>63 da Lei Federal n.º 14.133, de 2021</w:t>
            </w:r>
            <w:r>
              <w:rPr>
                <w:rFonts w:eastAsia="Arial" w:cs="Arial" w:ascii="Arial" w:hAnsi="Arial"/>
                <w:b w:val="false"/>
                <w:i w:val="false"/>
                <w:caps w:val="false"/>
                <w:smallCaps w:val="false"/>
                <w:strike w:val="false"/>
                <w:dstrike w:val="false"/>
                <w:position w:val="0"/>
                <w:sz w:val="20"/>
                <w:sz w:val="20"/>
                <w:szCs w:val="20"/>
                <w:vertAlign w:val="baseline"/>
              </w:rPr>
              <w:t>, a vistoria passou a ser um direito do licitante, e não uma obrigação imposta pela Administração.</w:t>
            </w:r>
          </w:p>
        </w:tc>
      </w:tr>
    </w:tbl>
    <w:p>
      <w:pPr>
        <w:pStyle w:val="Normal1"/>
        <w:shd w:val="clear" w:fill="FFFFFF"/>
        <w:spacing w:lineRule="auto" w:line="240" w:before="57" w:after="0"/>
        <w:ind w:hanging="0" w:left="9" w:right="-5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4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PROPOSTA INICIAL</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4.1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Antes de postar a proposta comercial em formulário eletrônico, o licitante deverá manifestar, em campo próprio d</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de compras eletrônicas:</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4.1.1 </w:t>
      </w:r>
      <w:r>
        <w:rPr>
          <w:rFonts w:eastAsia="Arial" w:cs="Arial" w:ascii="Arial" w:hAnsi="Arial"/>
          <w:b w:val="false"/>
          <w:i w:val="false"/>
          <w:caps w:val="false"/>
          <w:smallCaps w:val="false"/>
          <w:strike w:val="false"/>
          <w:dstrike w:val="false"/>
          <w:position w:val="0"/>
          <w:sz w:val="20"/>
          <w:sz w:val="20"/>
          <w:szCs w:val="20"/>
          <w:vertAlign w:val="baseline"/>
        </w:rPr>
        <w:t>o</w:t>
      </w:r>
      <w:r>
        <w:rPr>
          <w:rFonts w:eastAsia="Arial" w:cs="Arial" w:ascii="Arial" w:hAnsi="Arial"/>
          <w:b/>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pleno conhecimento e atendimento às exigências de habilitação e demais condições previstas no edital;</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4.1.2 </w:t>
      </w:r>
      <w:r>
        <w:rPr>
          <w:rFonts w:eastAsia="Arial" w:cs="Arial" w:ascii="Arial" w:hAnsi="Arial"/>
          <w:b w:val="false"/>
          <w:i w:val="false"/>
          <w:caps w:val="false"/>
          <w:smallCaps w:val="false"/>
          <w:strike w:val="false"/>
          <w:dstrike w:val="false"/>
          <w:position w:val="0"/>
          <w:sz w:val="20"/>
          <w:sz w:val="20"/>
          <w:szCs w:val="20"/>
          <w:vertAlign w:val="baseline"/>
        </w:rPr>
        <w:t>a</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sua condição de microempresa, de empresa de pequeno porte ou de microempreendedor individual para usufruir dos benefícios da Lei Complementar Federal n.º 123, de 2006.</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4.2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 preço inicial deverá ser enviada por meio de formulário eletrônico no sistema de compras eletrônicas no prazo previsto no edital, de acordo com o critério de disputa estabelecido no edital.</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4.2.1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registrada poderá ser alterada ou desistida até a data e hora definida no edital. Após o prazo previsto para acolhimento das propostas, o sistema eletrônico não aceitará inclusão, alteração ou desistência da(s) proposta(s).</w:t>
      </w:r>
      <w:bookmarkStart w:id="2" w:name="bookmark=id.1fob9te"/>
    </w:p>
    <w:p>
      <w:pPr>
        <w:pStyle w:val="Normal1"/>
        <w:shd w:val="clear" w:fill="FFFFFF"/>
        <w:tabs>
          <w:tab w:val="clear" w:pos="720"/>
          <w:tab w:val="left" w:pos="558" w:leader="none"/>
        </w:tabs>
        <w:spacing w:lineRule="auto" w:line="240" w:before="57" w:after="57"/>
        <w:jc w:val="both"/>
        <w:rPr>
          <w:rFonts w:ascii="Arial" w:hAnsi="Arial"/>
          <w:sz w:val="20"/>
          <w:szCs w:val="20"/>
        </w:rPr>
      </w:pPr>
      <w:bookmarkEnd w:id="2"/>
      <w:r>
        <w:rPr>
          <w:rFonts w:eastAsia="Arial" w:cs="Arial" w:ascii="Arial" w:hAnsi="Arial"/>
          <w:b/>
          <w:i w:val="false"/>
          <w:caps w:val="false"/>
          <w:smallCaps w:val="false"/>
          <w:strike w:val="false"/>
          <w:dstrike w:val="false"/>
          <w:color w:val="000000"/>
          <w:position w:val="0"/>
          <w:sz w:val="20"/>
          <w:sz w:val="20"/>
          <w:szCs w:val="20"/>
          <w:vertAlign w:val="baseline"/>
        </w:rPr>
        <w:t xml:space="preserve">4.3. </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ordenará, automaticamente, as propostas classificadas pelo(a) pregoeiro(a), sendo que somente estas participarão da fase de lances.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4.4.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Pregoeiro(a), verificará as propostas apresentadas, inclusive quanto à exequibilidade, e desclassificará aquelas que não estejam em conformidade com os requisitos estabelecidos neste Edital.</w:t>
      </w:r>
    </w:p>
    <w:p>
      <w:pPr>
        <w:pStyle w:val="Normal1"/>
        <w:widowControl w:val="false"/>
        <w:shd w:val="clear" w:fill="FFFFFF"/>
        <w:tabs>
          <w:tab w:val="clear" w:pos="720"/>
          <w:tab w:val="left" w:pos="426"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 DO PREENCHIMENTO DA PROPOSTA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licitante deverá enviar sua proposta mediante o</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p</w:t>
      </w:r>
      <w:r>
        <w:rPr>
          <w:rFonts w:eastAsia="Arial" w:cs="Arial" w:ascii="Arial" w:hAnsi="Arial"/>
          <w:b w:val="false"/>
          <w:i w:val="false"/>
          <w:caps w:val="false"/>
          <w:smallCaps w:val="false"/>
          <w:strike w:val="false"/>
          <w:dstrike w:val="false"/>
          <w:color w:val="000000"/>
          <w:position w:val="0"/>
          <w:sz w:val="20"/>
          <w:sz w:val="20"/>
          <w:szCs w:val="20"/>
          <w:vertAlign w:val="baseline"/>
        </w:rPr>
        <w:t>reenchimento, no sistema eletrônico, dos seguintes campos:</w:t>
      </w:r>
    </w:p>
    <w:p>
      <w:pPr>
        <w:pStyle w:val="Normal1"/>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5.1.1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Valor unitário e total do item </w:t>
      </w:r>
      <w:r>
        <w:rPr>
          <w:rFonts w:eastAsia="Arial" w:cs="Arial" w:ascii="Arial" w:hAnsi="Arial"/>
          <w:b/>
          <w:i w:val="false"/>
          <w:caps w:val="false"/>
          <w:smallCaps w:val="false"/>
          <w:strike w:val="false"/>
          <w:dstrike w:val="false"/>
          <w:color w:val="000000"/>
          <w:position w:val="0"/>
          <w:sz w:val="20"/>
          <w:sz w:val="20"/>
          <w:szCs w:val="20"/>
          <w:u w:val="single"/>
          <w:vertAlign w:val="baseline"/>
        </w:rPr>
        <w:t>ou</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valor global, </w:t>
      </w:r>
      <w:r>
        <w:rPr>
          <w:rFonts w:eastAsia="Arial" w:cs="Arial" w:ascii="Arial" w:hAnsi="Arial"/>
          <w:b/>
          <w:i w:val="false"/>
          <w:caps w:val="false"/>
          <w:smallCaps w:val="false"/>
          <w:strike w:val="false"/>
          <w:dstrike w:val="false"/>
          <w:color w:val="000000"/>
          <w:position w:val="0"/>
          <w:sz w:val="20"/>
          <w:sz w:val="20"/>
          <w:szCs w:val="20"/>
          <w:u w:val="single"/>
          <w:vertAlign w:val="baseline"/>
        </w:rPr>
        <w:t>ou</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percentual de desconto;</w:t>
      </w:r>
    </w:p>
    <w:p>
      <w:pPr>
        <w:pStyle w:val="Normal1"/>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1"/>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XXXXXXXXXX;</w:t>
      </w:r>
    </w:p>
    <w:p>
      <w:pPr>
        <w:pStyle w:val="Normal1"/>
        <w:shd w:val="clear" w:fill="FFFFFF"/>
        <w:tabs>
          <w:tab w:val="clear" w:pos="720"/>
          <w:tab w:val="left" w:pos="1440"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5.1.4</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Descrição detalhada do objeto, contendo as informações similares à especificação contida nos elementos técnicos instrutores: indicando, no que for aplicável, o modelo, prazo de validade ou de garantia, quando for o caso.</w:t>
      </w:r>
    </w:p>
    <w:p>
      <w:pPr>
        <w:pStyle w:val="Normal1"/>
        <w:shd w:val="clear" w:fill="FFFFFF"/>
        <w:tabs>
          <w:tab w:val="clear" w:pos="720"/>
          <w:tab w:val="left" w:pos="1440"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3"/>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item anterior deve ser adaptado às peculiaridades do objeto licitatório, exigindo-se a pormenorização daquilo que for a ele pertinente.</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Embora não seja obrigatório exigir o preenchimento do campo “descrição detalhada do objeto contratado”, uma vez que o licitante já declarou que está ciente e concorda com as condições contidas no Edital, no pregão eletrônico esta é a maneira pela qual o(a) Pregoeiro(a) poderá obter informações mais detalhadas sobre a proposta do licitante, para fins de classificação ou aceitação.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ind w:right="0"/>
        <w:jc w:val="both"/>
        <w:rPr>
          <w:rFonts w:ascii="Arial" w:hAnsi="Arial" w:eastAsia="Arial" w:cs="Arial"/>
          <w:b/>
          <w:i/>
          <w:i/>
          <w:color w:val="C00000"/>
          <w:position w:val="0"/>
          <w:sz w:val="20"/>
          <w:sz w:val="20"/>
          <w:szCs w:val="20"/>
          <w:vertAlign w:val="baseline"/>
        </w:rPr>
      </w:pPr>
      <w:r>
        <w:rPr>
          <w:rFonts w:eastAsia="Arial" w:cs="Arial" w:ascii="Arial" w:hAnsi="Arial"/>
          <w:b/>
          <w:i/>
          <w:color w:val="C00000"/>
          <w:position w:val="0"/>
          <w:sz w:val="20"/>
          <w:sz w:val="20"/>
          <w:szCs w:val="20"/>
          <w:vertAlign w:val="baseline"/>
        </w:rPr>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5.2</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especificações do objeto contidas na proposta vinculam o Contratado.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5.3</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Nos valores propostos estarão inclusos todos os custos operacionais, encargos previdenciários, trabalhistas, tributários, comerciais e quaisquer outros que incidam direta ou indiretamente na prestação dos serviços de engenharia.</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prazo de validade da proposta não será inferior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 (XXXXX)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a contar da data de sua apresentação.</w:t>
      </w:r>
    </w:p>
    <w:p>
      <w:pPr>
        <w:pStyle w:val="Normal1"/>
        <w:shd w:val="clear" w:fill="FFFFFF"/>
        <w:tabs>
          <w:tab w:val="clear" w:pos="720"/>
          <w:tab w:val="left" w:pos="1440" w:leader="none"/>
        </w:tabs>
        <w:spacing w:lineRule="auto" w:line="240" w:before="57" w:after="0"/>
        <w:jc w:val="both"/>
        <w:rPr>
          <w:rFonts w:ascii="Arial" w:hAnsi="Arial" w:eastAsia="Arial" w:cs="Arial"/>
          <w:color w:val="000000"/>
          <w:position w:val="0"/>
          <w:sz w:val="20"/>
          <w:sz w:val="20"/>
          <w:szCs w:val="20"/>
          <w:highlight w:val="darkYellow"/>
          <w:vertAlign w:val="baseline"/>
        </w:rPr>
      </w:pPr>
      <w:r>
        <w:rPr>
          <w:rFonts w:eastAsia="Arial" w:cs="Arial" w:ascii="Arial" w:hAnsi="Arial"/>
          <w:color w:val="000000"/>
          <w:position w:val="0"/>
          <w:sz w:val="20"/>
          <w:sz w:val="20"/>
          <w:szCs w:val="20"/>
          <w:highlight w:val="darkYellow"/>
          <w:vertAlign w:val="baseline"/>
        </w:rPr>
      </w:r>
    </w:p>
    <w:tbl>
      <w:tblPr>
        <w:tblStyle w:val="Table34"/>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prazo de validade das propostas será estabelecido de forma justificada neste edital de acordo com as peculiaridades da licitação e do mercado próprio do objeto.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ofertas de propostas dos licitantes devem respeitar os preços máximos estabelecidos neste Edital.</w:t>
      </w:r>
    </w:p>
    <w:p>
      <w:pPr>
        <w:pStyle w:val="Normal1"/>
        <w:shd w:val="clear" w:fill="FFFFFF"/>
        <w:spacing w:lineRule="auto" w:line="240" w:before="57" w:after="0"/>
        <w:ind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 DA ABERTURA DA SESSÃO, CLASSIFICAÇÃO DAS PROPOSTAS E FORMULAÇÃO DE LANCES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abertura da presente licitação dar-se-á em sessão pública, por meio de sistema eletrônico, na data, horário e local indicados neste Edital.</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Pregoeiro(a) verificará as propostas apresentadas, desclassificando aquelas que não estejam em conformidade com os requisitos estabelecidos neste Edital, contenham vícios insanáveis ou não apresentem as especificações técnicas exigidas nos Elementos Técnicos Instrutores.</w:t>
      </w:r>
    </w:p>
    <w:p>
      <w:pPr>
        <w:pStyle w:val="Normal1"/>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Também será desclassificada a proposta que identifique o licitante.</w:t>
      </w:r>
    </w:p>
    <w:p>
      <w:pPr>
        <w:pStyle w:val="Normal1"/>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desclassificação será sempre fundamentada e registrada no sistema, com acompanhamento em tempo real por todos os participantes.</w:t>
      </w:r>
    </w:p>
    <w:p>
      <w:pPr>
        <w:pStyle w:val="Normal1"/>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não desclassificação da proposta não impede o seu julgamento definitivo em sentido contrário, levado a efeito na fase de aceitação.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6.3 </w:t>
      </w:r>
      <w:r>
        <w:rPr>
          <w:rFonts w:eastAsia="Arial" w:cs="Arial" w:ascii="Arial" w:hAnsi="Arial"/>
          <w:b w:val="false"/>
          <w:i w:val="false"/>
          <w:caps w:val="false"/>
          <w:smallCaps w:val="false"/>
          <w:strike w:val="false"/>
          <w:dstrike w:val="false"/>
          <w:color w:val="000000"/>
          <w:position w:val="0"/>
          <w:sz w:val="20"/>
          <w:sz w:val="20"/>
          <w:szCs w:val="20"/>
          <w:vertAlign w:val="baseline"/>
        </w:rPr>
        <w:t>O sistema ordenará automaticamente as propostas classificadas, sendo que somente estas participarão da fase de lances.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sistema disponibilizará campo próprio para troca de mensagens entre o(a) Pregoeiro(a) e os licitantes.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Iniciada a etapa competitiva, os licitantes deverão encaminhar lances exclusivamente por meio do sistema eletrônico, sendo imediatamente informados do seu recebimento e do valor consignado no registro.</w:t>
      </w:r>
    </w:p>
    <w:p>
      <w:pPr>
        <w:pStyle w:val="Normal1"/>
        <w:shd w:val="clear" w:fill="FFFFFF"/>
        <w:tabs>
          <w:tab w:val="clear" w:pos="720"/>
          <w:tab w:val="left" w:pos="144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6.5.1 </w:t>
      </w:r>
      <w:r>
        <w:rPr>
          <w:rFonts w:eastAsia="Arial" w:cs="Arial" w:ascii="Arial" w:hAnsi="Arial"/>
          <w:b w:val="false"/>
          <w:i w:val="false"/>
          <w:caps w:val="false"/>
          <w:smallCaps w:val="false"/>
          <w:strike w:val="false"/>
          <w:dstrike w:val="false"/>
          <w:color w:val="000000"/>
          <w:position w:val="0"/>
          <w:sz w:val="20"/>
          <w:sz w:val="20"/>
          <w:szCs w:val="20"/>
          <w:vertAlign w:val="baseline"/>
        </w:rPr>
        <w:t>O lance deverá ser ofertado de acordo com o critério de disputa fixado no item 2 Das Condições Específicas deste Edital.</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poderão oferecer lances sucessivos, observando o horário fixado para abertura da sessão e as regras estabelecidas no Edital.</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licitante somente poderá oferecer lance de valor inferior ou percentual de desconto superior ao último por ele ofertado e registrado pelo sistema.</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intervalo mínimo de diferença de valores ou percentuais entre os lances, que incidirá tanto em relação aos lances intermediários quanto em relação à proposta que cobrir a melhor oferta deverá ser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 (XXXXX).</w:t>
      </w:r>
    </w:p>
    <w:p>
      <w:pPr>
        <w:pStyle w:val="Normal1"/>
        <w:shd w:val="clear" w:fill="FFFFFF"/>
        <w:spacing w:lineRule="auto" w:line="240" w:before="57" w:after="0"/>
        <w:ind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SUBJECT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MODO DE DISPUTA:</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Disputa aberta: Adotado o modo de disputa aberto, a previsão do item 6.8 acima, de intervalo mínimo de diferença de valores ou de percentuais entre os lances é facultativa, conforme §1º, do Art. 72, do Decreto n.º 10.086/2022.</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Assim, se a Administração optar por não estabelecer esse intervalo mínimo, o item 6.8 deverá ser excluído.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subitem acima poderá ser acrescentado para incluir intervalo mínimo de valor (em moeda corrente) ou de percentuais entre os lances, que implique repercussão financeira que efetivamente diferencie uma proposta da outra.</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No modo de disputa aberto, deve-se incluir os itens 6.9 a 6.13, conforme redação: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6.9 Será adotado para o envio de lances no pregão eletrônico o modo de disputa “aberto”, em que os licitantes apresentarão lances públicos e sucessivos, com prorrogações.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6.10 A etapa de lances da sessão pública terá duração de (XXXX) minutos e, após isso, será prorrogada automaticamente pelo sistema quando houver lance ofertado nos últimos dois minutos do período de duração da sessão pública.</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6.11 A prorrogação automática da etapa de lances, de que trata o item anterior, será de (XXX) minutos e ocorrerá sucessivamente sempre que houver lances enviados nesse período de prorrogação, inclusive no caso de lances intermediários.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6.12 Não havendo novos lances na forma estabelecida nos itens anteriores, a sessão pública encerrar-se-á automaticamente.</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6.13 Encerrada a fase competitiva sem que haja a prorrogação automática pelo sistema, poderá o pregoeiro, assessorado pela equipe de apoio, justificadamente, admitir o reinício da sessão pública de lances, em prol da consecução do melhor preço.</w:t>
            </w:r>
          </w:p>
          <w:p>
            <w:pPr>
              <w:pStyle w:val="Normal1"/>
              <w:shd w:val="clear" w:fill="FFFF00"/>
              <w:spacing w:lineRule="auto" w:line="240" w:before="0" w:after="57"/>
              <w:ind w:firstLine="9" w:left="-9" w:right="0"/>
              <w:jc w:val="both"/>
              <w:rPr>
                <w:rFonts w:ascii="Arial" w:hAnsi="Arial" w:eastAsia="Arial" w:cs="Arial"/>
                <w:b w:val="false"/>
                <w:position w:val="0"/>
                <w:sz w:val="20"/>
                <w:sz w:val="20"/>
                <w:szCs w:val="20"/>
                <w:vertAlign w:val="baseline"/>
              </w:rPr>
            </w:pPr>
            <w:r>
              <w:rPr>
                <w:rFonts w:eastAsia="Arial" w:cs="Arial" w:ascii="Arial" w:hAnsi="Arial"/>
                <w:b w:val="false"/>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OU</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Combinação de modos de disputa “aberto e fechado”: O modo de disputa aberto e fechado</w:t>
            </w:r>
            <w:r>
              <w:rPr>
                <w:rFonts w:eastAsia="Arial" w:cs="Arial" w:ascii="Arial" w:hAnsi="Arial"/>
                <w:b w:val="false"/>
                <w:i w:val="false"/>
                <w:caps w:val="false"/>
                <w:smallCaps w:val="false"/>
                <w:strike w:val="false"/>
                <w:dstrike w:val="false"/>
                <w:position w:val="0"/>
                <w:sz w:val="20"/>
                <w:sz w:val="20"/>
                <w:szCs w:val="20"/>
                <w:vertAlign w:val="baseline"/>
              </w:rPr>
              <w:t xml:space="preserve"> se inicia com a apresentação de lances sucessivos (fase aberta), com envio final de um lance fechado pelos detentores das três melhores propostas da fase aberta (fase fechada).</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No modo de disputa aberto e fechado, deve-se incluir os itens 6.9 a 6.13, conforme redação: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6.9 Será adotado para o envio de lances no pregão eletrônico o modo de disputa “aberto e fechado”, em que os licitantes apresentarão lances públicos e sucessivos, com lance final e fechado.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6.10 A etapa de lances da sessão pública terá duração inicial de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Após esse prazo, o sistema encaminhará aviso de fechamento iminente dos lances, após o que transcorrerá o período de tempo de até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aleatoriamente determinado, findo o qual será automaticamente encerrada a recepção de lances.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6.11 Encerrado o prazo previsto no item anterior, o sistema abrirá oportunidade para que o autor da oferta de valor mais baixo e os das ofertas com preços até XXX por cento superiores àquela possam ofertar um lance final e fechado em até </w:t>
            </w:r>
            <w:r>
              <w:rPr>
                <w:rFonts w:eastAsia="Arial" w:cs="Arial" w:ascii="Arial" w:hAnsi="Arial"/>
                <w:b w:val="false"/>
                <w:i w:val="false"/>
                <w:caps w:val="false"/>
                <w:smallCaps w:val="false"/>
                <w:strike w:val="false"/>
                <w:dstrike w:val="false"/>
                <w:position w:val="0"/>
                <w:sz w:val="20"/>
                <w:sz w:val="20"/>
                <w:szCs w:val="20"/>
                <w:vertAlign w:val="baseline"/>
              </w:rPr>
              <w:t>(XXXX) minutos</w:t>
            </w:r>
            <w:r>
              <w:rPr>
                <w:rFonts w:eastAsia="Arial" w:cs="Arial" w:ascii="Arial" w:hAnsi="Arial"/>
                <w:b w:val="false"/>
                <w:i w:val="false"/>
                <w:caps w:val="false"/>
                <w:smallCaps w:val="false"/>
                <w:strike w:val="false"/>
                <w:dstrike w:val="false"/>
                <w:color w:val="000000"/>
                <w:position w:val="0"/>
                <w:sz w:val="20"/>
                <w:sz w:val="20"/>
                <w:szCs w:val="20"/>
                <w:vertAlign w:val="baseline"/>
              </w:rPr>
              <w:t>,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6.12 Após o término dos prazos estabelecidos nos itens anteriores, o sistema ordenará os lances segundo a ordem crescente de valores.</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6.12.1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6.13 Poderá o(a) pregoeiro(a), auxiliado pela equipe de apoio, justificadamente, admitir o reinício da etapa fechada, caso nenhum licitante classificado na etapa de lance fechado atender às exigências de habilitação.</w:t>
            </w:r>
          </w:p>
        </w:tc>
      </w:tr>
    </w:tbl>
    <w:p>
      <w:pPr>
        <w:pStyle w:val="Normal1"/>
        <w:shd w:val="clear" w:fill="FFFFFF"/>
        <w:spacing w:lineRule="auto" w:line="240" w:before="57"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Não serão aceitos dois ou mais lances de mesmo valor, prevalecendo aquele que for recebido e registrado em primeiro lugar.</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Durante o transcurso da sessão pública, os licitantes serão informados, em tempo real, do valor do menor lance registrado, vedada a identificação do licitante.</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caso de desconexão com o(a) Pregoeiro(a), no decorrer da etapa competitiva do Pregão, o sistema eletrônico poderá permanecer acessível aos licitantes para a recepção dos lances.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Quando a desconexão do sistema eletrônico para o(a) pregoeiro(a) persistir por tempo superior a dez minutos, a sessão pública será suspensa e reiniciada somente após decorridas, no mínimo, vinte e quatro horas da comunicação do fato pelo(a) Pregoeiro(a) aos participantes, no sítio eletrônico utilizado para divulgação.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Critério de julgamento adotado será o </w:t>
      </w:r>
      <w:r>
        <w:rPr>
          <w:rFonts w:eastAsia="Arial" w:cs="Arial" w:ascii="Arial" w:hAnsi="Arial"/>
          <w:b w:val="false"/>
          <w:i/>
          <w:caps w:val="false"/>
          <w:smallCaps w:val="false"/>
          <w:strike w:val="false"/>
          <w:dstrike w:val="false"/>
          <w:color w:val="000000"/>
          <w:position w:val="0"/>
          <w:sz w:val="20"/>
          <w:sz w:val="20"/>
          <w:szCs w:val="20"/>
          <w:vertAlign w:val="baseline"/>
        </w:rPr>
        <w:t>menor preço (ou maior desconto)</w:t>
      </w:r>
      <w:r>
        <w:rPr>
          <w:rFonts w:eastAsia="Arial" w:cs="Arial" w:ascii="Arial" w:hAnsi="Arial"/>
          <w:b w:val="false"/>
          <w:i w:val="false"/>
          <w:caps w:val="false"/>
          <w:smallCaps w:val="false"/>
          <w:strike w:val="false"/>
          <w:dstrike w:val="false"/>
          <w:color w:val="000000"/>
          <w:position w:val="0"/>
          <w:sz w:val="20"/>
          <w:sz w:val="20"/>
          <w:szCs w:val="20"/>
          <w:vertAlign w:val="baseline"/>
        </w:rPr>
        <w:t>, conforme definido neste Edital e seus anexos.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6.19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o licitante não apresente lances, concorrerá com o valor de sua proposta.</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 relação a itens não exclusivos para participação de microempresas, empresas de pequeno porte e microempreendedores individuais, uma vez encerrada a etapa de lances, será efetivada a verificação do porte da entidade empresarial. O sistema identificará em coluna própria as microempresas, as empresas de pequeno porte e microempreendedores individuais participantes, procedendo à comparação com os valores da primeira colocada, se esta for empresa de maior porte, assim como das demais classificadas, para o fim de aplicar-se o disposto nos arts. 44 e 45 da Lei Complementar Federal n.º 123, de 2006</w:t>
      </w:r>
      <w:r>
        <w:rPr>
          <w:rFonts w:eastAsia="Arial" w:cs="Arial" w:ascii="Arial" w:hAnsi="Arial"/>
          <w:b w:val="false"/>
          <w:i w:val="false"/>
          <w:caps w:val="false"/>
          <w:smallCaps w:val="false"/>
          <w:strike/>
          <w:color w:val="000000"/>
          <w:position w:val="0"/>
          <w:sz w:val="20"/>
          <w:sz w:val="20"/>
          <w:szCs w:val="20"/>
          <w:vertAlign w:val="baseline"/>
        </w:rPr>
        <w:t>.</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Nessas condições, as propostas de microempresas, empresas de pequeno porte e microempreendedores individuais que se encontrarem na faixa de até 5% (cinco por cento) acima da melhor proposta ou melhor lance serão consideradas empatadas com a primeira colocada.</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ME, EPP ou MEI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estabelecido no subitem anterior.</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Só poderá haver empate entre propostas iguais (não seguidas de lances), ou entre lances finais da fase fechada do modo de disputa aberto e fechado.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Havendo eventual empate entre propostas ou lances, o critério de desempate será aquele previsto no art. 60 da Lei n.º 14.133, de 2021.</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Persistindo o empate, a proposta vencedora será sorteada pelo sistema eletrônico dentre as propostas ou os lances empatados.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negociação será realizada por meio do sistema, podendo ser acompanhada pelos demais licitantes.</w:t>
      </w:r>
    </w:p>
    <w:p>
      <w:pPr>
        <w:pStyle w:val="Normal1"/>
        <w:shd w:val="clear" w:fill="FFFFFF"/>
        <w:tabs>
          <w:tab w:val="clear" w:pos="720"/>
          <w:tab w:val="left" w:pos="-12" w:leader="none"/>
        </w:tabs>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O(a) pregoeiro(a) solicitará ao licitante melhor classificado que, no prazo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 (XXXXX)</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horas </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[mínimo de duas horas]</w:t>
      </w:r>
      <w:r>
        <w:rPr>
          <w:rFonts w:eastAsia="Arial" w:cs="Arial" w:ascii="Arial" w:hAnsi="Arial"/>
          <w:b w:val="false"/>
          <w:i w:val="false"/>
          <w:caps w:val="false"/>
          <w:smallCaps w:val="false"/>
          <w:strike w:val="false"/>
          <w:dstrike w:val="false"/>
          <w:color w:val="000000"/>
          <w:position w:val="0"/>
          <w:sz w:val="20"/>
          <w:sz w:val="20"/>
          <w:szCs w:val="20"/>
          <w:vertAlign w:val="baseline"/>
        </w:rPr>
        <w:t>, envie a proposta adequada ao último lance ofertado após a negociação realizada, acompanhada, se for o caso, dos documentos complementares, quando necessários à confirmação daqueles exigidos neste Edital e já apresentados.</w:t>
      </w:r>
    </w:p>
    <w:p>
      <w:pPr>
        <w:pStyle w:val="Normal1"/>
        <w:shd w:val="clear" w:fill="FFFFFF"/>
        <w:tabs>
          <w:tab w:val="clear" w:pos="720"/>
          <w:tab w:val="left" w:pos="-12" w:leader="none"/>
        </w:tabs>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6.28.3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facultado ao(a) pregoeiro(a) prorrogar o prazo estabelecido, a partir de solicitação fundamentada feita no chat pelo licitante, antes de findo o prazo previsto no item 6.28.2.</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Após a negociação do preço, o(a) Pregoeiro(a) iniciará a fase de aceitação e julgamento da proposta.</w:t>
      </w:r>
    </w:p>
    <w:p>
      <w:pPr>
        <w:pStyle w:val="Normal1"/>
        <w:shd w:val="clear" w:fill="FFFFFF"/>
        <w:spacing w:lineRule="auto" w:line="240" w:before="57" w:after="0"/>
        <w:ind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 DA ACEITABILIDADE DA PROPOSTA VENCEDORA.</w:t>
      </w:r>
    </w:p>
    <w:tbl>
      <w:tblPr>
        <w:tblStyle w:val="Table36"/>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Como condição prévia à aceitação da proposta, caso o licitante detentor da proposta classificada em primeiro lugar tenha usufruído do tratamento diferenciado previsto nos artigos 44 e 45 da Lei Complementar Federal n° 123, de 2006, o(a) Pregoeiro(a) deverá consultar o Portal Nacional de Contratações Públicas (PNCP) para verificar se o somatório dos valores por ele recebidos, no exercício anterior, extrapola o limite previsto no artigo 3°, inciso II, da Lei Complementar n° 123, de 2006, ou o limite proporcional de que trata o artigo 3°, § 2°, do mesmo diploma, em caso de início de atividade no exercício considerado.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Para a microempresa, empresa de pequeno porte ou microempreendedor individual, a consulta também abrangerá o exercício corrente, para verificar se o somatório dos valores por ela recebidos, até o mês anterior ao da sessão pública da licitação, extrapola os limites acima referidos, acrescidos do percentual de 20% (vinte por cento) de que trata o artigo 3°, §§ 9°-A e 12, da Lei Complementar n° 123, de 2006.</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Constatada a ocorrência de qualquer das situações que superem o limite legal, o(a) Pregoeiro(a) deverá indeferir a aplicação do tratamento diferenciado em favor do licitante, conforme artigo 3°, §§ 9°, 9°-A, 10 e 12, da Lei Complementar n° 123, de 2006, com a consequente recusa do lance de desempate, sem prejuízo das penalidades incidentes.</w:t>
            </w:r>
          </w:p>
        </w:tc>
      </w:tr>
    </w:tbl>
    <w:p>
      <w:pPr>
        <w:pStyle w:val="Normal1"/>
        <w:shd w:val="clear" w:fill="FFFFFF"/>
        <w:spacing w:lineRule="auto" w:line="240" w:before="57" w:after="0"/>
        <w:ind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art. 95 do Decreto n.º 10.086, de 2022.</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análise da exequibilidade da proposta de preços deverá ser realizada com o auxílio da Planilha de Custos e Formação de Preços, a ser preenchida pelo licitante em relação à sua proposta final, conforme anexo deste Edital.</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7.1.2.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Planilha de Custos e Formação de Preços deverá ser encaminhada pelo licitante exclusivamente via sistema, no prazo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 horas/dias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contado da solicitação do pregoeiro,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com os respectivos valores readequados ao lance vencedor,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e será analisada pelo Pregoeiro no momento da </w:t>
      </w:r>
      <w:r>
        <w:rPr>
          <w:rFonts w:eastAsia="Arial" w:cs="Arial" w:ascii="Arial" w:hAnsi="Arial"/>
          <w:b w:val="false"/>
          <w:i w:val="false"/>
          <w:caps w:val="false"/>
          <w:smallCaps w:val="false"/>
          <w:strike w:val="false"/>
          <w:dstrike w:val="false"/>
          <w:color w:val="000000"/>
          <w:position w:val="0"/>
          <w:sz w:val="20"/>
          <w:sz w:val="20"/>
          <w:szCs w:val="20"/>
          <w:vertAlign w:val="baseline"/>
        </w:rPr>
        <w:t>aceitação do lance vencedor.</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existência de valores de serviços unitários isolados, na planilha orçamentária do licitante, inferiores aos serviços unitários da planilha orçamentária referencial não caracteriza motivo suficiente para a desclassificação da proposta, desde que aqueles valores sejam valores adequados, mantendo-se o valor da proposta.</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w:t>
      </w:r>
      <w:bookmarkStart w:id="3" w:name="bookmark=id.3znysh7"/>
      <w:bookmarkEnd w:id="3"/>
      <w:r>
        <w:rPr>
          <w:rFonts w:eastAsia="Arial" w:cs="Arial" w:ascii="Arial" w:hAnsi="Arial"/>
          <w:b w:val="false"/>
          <w:i w:val="false"/>
          <w:caps w:val="false"/>
          <w:smallCaps w:val="false"/>
          <w:strike w:val="false"/>
          <w:dstrike w:val="false"/>
          <w:color w:val="000000"/>
          <w:position w:val="0"/>
          <w:sz w:val="20"/>
          <w:sz w:val="20"/>
          <w:szCs w:val="20"/>
          <w:vertAlign w:val="baseline"/>
        </w:rPr>
        <w:t>erá desclassificada a proposta ou o lance vencedor que:</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7.2.1 </w:t>
      </w:r>
      <w:r>
        <w:rPr>
          <w:rFonts w:eastAsia="Arial" w:cs="Arial" w:ascii="Arial" w:hAnsi="Arial"/>
          <w:b w:val="false"/>
          <w:i w:val="false"/>
          <w:caps w:val="false"/>
          <w:smallCaps w:val="false"/>
          <w:strike w:val="false"/>
          <w:dstrike w:val="false"/>
          <w:color w:val="000000"/>
          <w:position w:val="0"/>
          <w:sz w:val="20"/>
          <w:sz w:val="20"/>
          <w:szCs w:val="20"/>
          <w:vertAlign w:val="baseline"/>
        </w:rPr>
        <w:t>não estiver em conformidade com os requisitos estabelecidos neste edital;</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contenha vício insanável ou ilegalidade;</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não apresente as especificações técnicas exigidas nos elementos técnicos instrutores;</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7.2.4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apresentar preço final superior ao preço máximo fixado, percentual de desconto inferior ao mínimo exigido, ou que apresentar preço manifestamente inexequível;</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7.2.4.1 </w:t>
      </w:r>
      <w:r>
        <w:rPr>
          <w:rFonts w:eastAsia="Arial" w:cs="Arial" w:ascii="Arial" w:hAnsi="Arial"/>
          <w:b w:val="false"/>
          <w:i w:val="false"/>
          <w:caps w:val="false"/>
          <w:smallCaps w:val="false"/>
          <w:strike w:val="false"/>
          <w:dstrike w:val="false"/>
          <w:color w:val="000000"/>
          <w:position w:val="0"/>
          <w:sz w:val="20"/>
          <w:sz w:val="20"/>
          <w:szCs w:val="20"/>
          <w:vertAlign w:val="baseline"/>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1"/>
        <w:shd w:val="clear" w:fill="FFFFFF"/>
        <w:spacing w:lineRule="auto" w:line="240" w:before="57" w:after="0"/>
        <w:ind w:right="-1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37"/>
        <w:tblW w:w="9071" w:type="dxa"/>
        <w:jc w:val="left"/>
        <w:tblInd w:w="-55" w:type="dxa"/>
        <w:tblLayout w:type="fixed"/>
        <w:tblCellMar>
          <w:top w:w="0" w:type="dxa"/>
          <w:left w:w="108" w:type="dxa"/>
          <w:bottom w:w="0" w:type="dxa"/>
          <w:right w:w="108" w:type="dxa"/>
        </w:tblCellMar>
        <w:tblLook w:val="0000"/>
      </w:tblPr>
      <w:tblGrid>
        <w:gridCol w:w="9071"/>
      </w:tblGrid>
      <w:tr>
        <w:trPr/>
        <w:tc>
          <w:tcPr>
            <w:tcW w:w="9071"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Atentar para a adoção de apenas um dos critérios de aceitabilidade da menor proposta ou lance vencedor, assim como para a distinção entre valor máximo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os elementos técnicos instrutores deverão indicar o valor máximo aceitável para cada item licitado.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ind w:right="-15"/>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serão consideradas inexequíveis as propostas cujos valores forem inferiores a 75% (setenta e cinco por cento) do valor orçado pela Administração.</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Se houver indícios de inexequibilidade da proposta de preço, ou em caso da necessidade de esclarecimentos complementares</w:t>
      </w:r>
      <w:r>
        <w:rPr>
          <w:rFonts w:eastAsia="Arial" w:cs="Arial" w:ascii="Arial" w:hAnsi="Arial"/>
          <w:b w:val="false"/>
          <w:i w:val="false"/>
          <w:caps w:val="false"/>
          <w:smallCaps w:val="false"/>
          <w:strike w:val="false"/>
          <w:dstrike w:val="false"/>
          <w:position w:val="0"/>
          <w:sz w:val="20"/>
          <w:sz w:val="20"/>
          <w:szCs w:val="20"/>
          <w:vertAlign w:val="baseline"/>
        </w:rPr>
        <w:t>, poderão ser efetuadas diligências</w:t>
      </w:r>
      <w:r>
        <w:rPr>
          <w:rFonts w:eastAsia="Arial" w:cs="Arial" w:ascii="Arial" w:hAnsi="Arial"/>
          <w:b w:val="false"/>
          <w:i w:val="false"/>
          <w:caps w:val="false"/>
          <w:smallCaps w:val="false"/>
          <w:strike w:val="false"/>
          <w:dstrike w:val="false"/>
          <w:color w:val="C9211E"/>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forma do previsto no art. 92 do Decreto n.º 10.086, de 2022, para que a empresa comprove a exequibilidade da proposta.</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o previsto na Lei 14.133/2021.</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Qualquer interessado poderá requerer que se realizem diligências para aferir a exequibilidade e a legalidade das propostas, devendo apresentar as provas ou os indícios que fundamentam a suspeita.</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7.7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Pregoeiro poderá convocar o licitante para enviar documento digital complementar, por meio de funcionalidade disponível no sistema, no prazo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w:t>
      </w:r>
      <w:r>
        <w:rPr>
          <w:rFonts w:eastAsia="Arial" w:cs="Arial" w:ascii="Arial" w:hAnsi="Arial"/>
          <w:b w:val="false"/>
          <w:i w:val="false"/>
          <w:caps w:val="false"/>
          <w:smallCaps w:val="false"/>
          <w:strike w:val="false"/>
          <w:dstrike w:val="false"/>
          <w:color w:val="000000"/>
          <w:position w:val="0"/>
          <w:sz w:val="20"/>
          <w:sz w:val="20"/>
          <w:szCs w:val="20"/>
          <w:vertAlign w:val="baseline"/>
        </w:rPr>
        <w:t>,sob pena de não aceitação da proposta.</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7.7.1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É facultado ao pregoeiro prorrogar o prazo estabelecido, a partir de solicitação fundamentada feita no chat pelo licitante, antes de findo o prazo.</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7.7.2 </w:t>
      </w:r>
      <w:r>
        <w:rPr>
          <w:rFonts w:eastAsia="Arial" w:cs="Arial" w:ascii="Arial" w:hAnsi="Arial"/>
          <w:b w:val="false"/>
          <w:i w:val="false"/>
          <w:caps w:val="false"/>
          <w:smallCaps w:val="false"/>
          <w:strike w:val="false"/>
          <w:dstrike w:val="false"/>
          <w:color w:val="000000"/>
          <w:position w:val="0"/>
          <w:sz w:val="20"/>
          <w:sz w:val="20"/>
          <w:szCs w:val="20"/>
          <w:vertAlign w:val="baseline"/>
        </w:rPr>
        <w:t>Dentre os documentos passíveis de solicitação pelo Pregoeiro, destacam-se as planilhas orçamentárias readequadas com o valor final ofertado.</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7.8 </w:t>
      </w:r>
      <w:r>
        <w:rPr>
          <w:rFonts w:eastAsia="Arial" w:cs="Arial" w:ascii="Arial" w:hAnsi="Arial"/>
          <w:b w:val="false"/>
          <w:i w:val="false"/>
          <w:caps w:val="false"/>
          <w:smallCaps w:val="false"/>
          <w:strike w:val="false"/>
          <w:dstrike w:val="false"/>
          <w:color w:val="000000"/>
          <w:position w:val="0"/>
          <w:sz w:val="20"/>
          <w:sz w:val="20"/>
          <w:szCs w:val="20"/>
          <w:vertAlign w:val="baseline"/>
        </w:rPr>
        <w:t>Todos os dados informados pelo licitante em sua planilha orçamentária deverão refletir com fidelidade os custos especificados, a margem de lucro pretendida e as despesas indiretas.</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Pregoeiro analisará a compatibilidade dos preços unitários apresentados na Planilha de Custos e Formação de Preços com os da planilha orçamentária referencial;</w:t>
      </w:r>
    </w:p>
    <w:p>
      <w:pPr>
        <w:pStyle w:val="Normal1"/>
        <w:shd w:val="clear" w:fill="FFFFFF"/>
        <w:spacing w:lineRule="auto" w:line="240" w:before="57" w:after="0"/>
        <w:ind w:right="-15"/>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Style w:val="Table38"/>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19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0"/>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57" w:after="0"/>
              <w:ind w:hanging="0"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0"/>
              <w:ind w:hanging="0" w:left="-9"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Administração deverá fixar tempo mínimo razoável para eventual apresentação do documento solicitado, considerando, para tanto, a complexidade da licitação.</w:t>
            </w:r>
          </w:p>
        </w:tc>
      </w:tr>
    </w:tbl>
    <w:p>
      <w:pPr>
        <w:pStyle w:val="Normal1"/>
        <w:shd w:val="clear" w:fill="FFFFFF"/>
        <w:spacing w:lineRule="auto" w:line="240" w:before="57" w:after="0"/>
        <w:ind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7.10 </w:t>
      </w:r>
      <w:r>
        <w:rPr>
          <w:rFonts w:eastAsia="Arial" w:cs="Arial" w:ascii="Arial" w:hAnsi="Arial"/>
          <w:b w:val="false"/>
          <w:i w:val="false"/>
          <w:caps w:val="false"/>
          <w:smallCaps w:val="false"/>
          <w:strike w:val="false"/>
          <w:dstrike w:val="false"/>
          <w:color w:val="000000"/>
          <w:position w:val="0"/>
          <w:sz w:val="20"/>
          <w:sz w:val="20"/>
          <w:szCs w:val="20"/>
          <w:vertAlign w:val="baseline"/>
        </w:rPr>
        <w:t>Se a proposta ou lance vencedor for desclassificado, o Pregoeiro examinará a proposta ou lance subsequente, e, assim sucessivamente, na ordem de classificação.</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Havendo necessidade, o Pregoeiro suspenderá a sessão, informando no </w:t>
      </w:r>
      <w:r>
        <w:rPr>
          <w:rFonts w:eastAsia="Arial" w:cs="Arial" w:ascii="Arial" w:hAnsi="Arial"/>
          <w:b w:val="false"/>
          <w:i/>
          <w:caps w:val="false"/>
          <w:smallCaps w:val="false"/>
          <w:strike w:val="false"/>
          <w:dstrike w:val="false"/>
          <w:color w:val="000000"/>
          <w:position w:val="0"/>
          <w:sz w:val="20"/>
          <w:sz w:val="20"/>
          <w:szCs w:val="20"/>
          <w:vertAlign w:val="baseline"/>
        </w:rPr>
        <w:t>chat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nova data e horário para a sua continuidade.</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7.12 </w:t>
      </w:r>
      <w:r>
        <w:rPr>
          <w:rFonts w:eastAsia="Arial" w:cs="Arial" w:ascii="Arial" w:hAnsi="Arial"/>
          <w:b w:val="false"/>
          <w:i w:val="false"/>
          <w:caps w:val="false"/>
          <w:smallCaps w:val="false"/>
          <w:strike w:val="false"/>
          <w:dstrike w:val="false"/>
          <w:color w:val="000000"/>
          <w:position w:val="0"/>
          <w:sz w:val="20"/>
          <w:sz w:val="20"/>
          <w:szCs w:val="20"/>
          <w:vertAlign w:val="baseline"/>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Também nas hipóteses em que o Pregoeiro não aceitar a proposta e passar à subsequente, poderá negociar com o licitante para que seja obtido preço melhor.</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7.14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negociação será realizada por meio do sistema, podendo ser acompanhada pelos demais licitantes.</w:t>
      </w:r>
    </w:p>
    <w:p>
      <w:pPr>
        <w:pStyle w:val="Normal1"/>
        <w:shd w:val="clear" w:fill="FFFFFF"/>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7.15 </w:t>
      </w:r>
      <w:r>
        <w:rPr>
          <w:rFonts w:eastAsia="Arial" w:cs="Arial" w:ascii="Arial" w:hAnsi="Arial"/>
          <w:b w:val="false"/>
          <w:i w:val="false"/>
          <w:caps w:val="false"/>
          <w:smallCaps w:val="false"/>
          <w:strike w:val="false"/>
          <w:dstrike w:val="false"/>
          <w:color w:val="000000"/>
          <w:position w:val="0"/>
          <w:sz w:val="20"/>
          <w:sz w:val="20"/>
          <w:szCs w:val="20"/>
          <w:vertAlign w:val="baseline"/>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Federal nº 123, de 2006, seguindo-se a disciplina antes estabelecida, se for o caso.</w:t>
      </w:r>
    </w:p>
    <w:p>
      <w:pPr>
        <w:pStyle w:val="Normal1"/>
        <w:shd w:val="clear" w:fill="FFFFFF"/>
        <w:spacing w:lineRule="auto" w:line="240" w:before="57" w:after="0"/>
        <w:ind w:right="-1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7.16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Encerrada a análise quanto à aceitação da proposta, o pregoeiro verificará a habilitação do licitante, observado o disposto neste Edital.</w:t>
      </w:r>
    </w:p>
    <w:p>
      <w:pPr>
        <w:pStyle w:val="Normal1"/>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8. DA APRESENTAÇÃO DA PROPOSTA E </w:t>
      </w:r>
      <w:r>
        <w:rPr>
          <w:rFonts w:eastAsia="Arial" w:cs="Arial" w:ascii="Arial" w:hAnsi="Arial"/>
          <w:b/>
          <w:i w:val="false"/>
          <w:caps w:val="false"/>
          <w:smallCaps w:val="false"/>
          <w:strike w:val="false"/>
          <w:dstrike w:val="false"/>
          <w:color w:val="000000"/>
          <w:position w:val="0"/>
          <w:sz w:val="20"/>
          <w:sz w:val="20"/>
          <w:szCs w:val="20"/>
          <w:vertAlign w:val="baseline"/>
        </w:rPr>
        <w:t>DOS DOCUMENTOS DE HABILITAÇÃO</w:t>
      </w:r>
    </w:p>
    <w:p>
      <w:pPr>
        <w:pStyle w:val="Normal1"/>
        <w:shd w:val="clear" w:fill="FFFFFF"/>
        <w:tabs>
          <w:tab w:val="clear" w:pos="720"/>
          <w:tab w:val="left" w:pos="558" w:leader="none"/>
        </w:tabs>
        <w:spacing w:lineRule="auto" w:line="240" w:before="57" w:after="57"/>
        <w:jc w:val="both"/>
        <w:rPr>
          <w:rFonts w:ascii="Arial" w:hAnsi="Arial"/>
          <w:sz w:val="20"/>
          <w:szCs w:val="20"/>
        </w:rPr>
      </w:pPr>
      <w:bookmarkStart w:id="4" w:name="_heading=h.2et92p0"/>
      <w:bookmarkEnd w:id="4"/>
      <w:r>
        <w:rPr>
          <w:rFonts w:eastAsia="Arial" w:cs="Arial" w:ascii="Arial" w:hAnsi="Arial"/>
          <w:b/>
          <w:i w:val="false"/>
          <w:caps w:val="false"/>
          <w:smallCaps w:val="false"/>
          <w:strike w:val="false"/>
          <w:dstrike w:val="false"/>
          <w:color w:val="000000"/>
          <w:position w:val="0"/>
          <w:sz w:val="20"/>
          <w:sz w:val="20"/>
          <w:szCs w:val="20"/>
          <w:vertAlign w:val="baseline"/>
        </w:rPr>
        <w:t>8.1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encaminharão, exclusivamente por meio de sistema eletrônico, a proposta com a descrição do objeto ofertado e o preço final proposto (conforme modelo do Anexo III) e os documentos de habilitação (conforme Anexo XV), até a data e o horário estabelecidos pelo(a) pregoeiro(a).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8.2 </w:t>
      </w:r>
      <w:r>
        <w:rPr>
          <w:rFonts w:eastAsia="Arial" w:cs="Arial" w:ascii="Arial" w:hAnsi="Arial"/>
          <w:b w:val="false"/>
          <w:i w:val="false"/>
          <w:caps w:val="false"/>
          <w:smallCaps w:val="false"/>
          <w:strike w:val="false"/>
          <w:dstrike w:val="false"/>
          <w:color w:val="000000"/>
          <w:position w:val="0"/>
          <w:sz w:val="20"/>
          <w:sz w:val="20"/>
          <w:szCs w:val="20"/>
          <w:vertAlign w:val="baseline"/>
        </w:rPr>
        <w:t>O envio da proposta ocorrerá por meio de chave de acesso e senha.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licitantes poderão deixar de apresentar os documentos de habilitação que constem no sistema de registro cadastral unificado disponível no Portal Nacional de Contratações Públicas (PNCP) ou do Cadastro Unificado de Fornecedores do Estado do Paraná, desde que os referidos documentos estejam atualizados, assegurado aos demais licitantes o direito de acesso aos dados constantes dos sistemas.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Microempresas, Empresas de Pequeno Porte e Microempreendedores Individuais deverão encaminhar a documentação de habilitação, ainda que haja alguma restrição de regularidade fiscal e trabalhista, nos termos do art. 43, § 1º da Lei Complementar Federal n.º 123, de 2006.</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Até a abertura da sessão pública, os licitantes poderão retirar ou substituir a proposta anteriormente inserida no sistema.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8.7 </w:t>
      </w:r>
      <w:r>
        <w:rPr>
          <w:rFonts w:eastAsia="Arial" w:cs="Arial" w:ascii="Arial" w:hAnsi="Arial"/>
          <w:b w:val="false"/>
          <w:i w:val="false"/>
          <w:caps w:val="false"/>
          <w:smallCaps w:val="false"/>
          <w:strike w:val="false"/>
          <w:dstrike w:val="false"/>
          <w:color w:val="000000"/>
          <w:position w:val="0"/>
          <w:sz w:val="20"/>
          <w:sz w:val="20"/>
          <w:szCs w:val="20"/>
          <w:vertAlign w:val="baseline"/>
        </w:rPr>
        <w:t>Não será estabelecida, nessa etapa do certame, ordem de classificação entre as propostas apresentadas, o que somente ocorrerá após a realização dos procedimentos de negociação e julgamento da proposta.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documentos que compõem a proposta e a habilitação do licitante melhor classificado somente serão disponibilizados para avaliação do(a) pregoeiro(a) e para acesso público após o encerramento do envio de lances fechados.</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highlight w:val="white"/>
          <w:vertAlign w:val="baseline"/>
        </w:rPr>
        <w:t>DESCRITIVO DA PROPOSTA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9.1 </w:t>
      </w:r>
      <w:r>
        <w:rPr>
          <w:rFonts w:eastAsia="Arial" w:cs="Arial" w:ascii="Arial" w:hAnsi="Arial"/>
          <w:b w:val="false"/>
          <w:i w:val="false"/>
          <w:caps w:val="false"/>
          <w:smallCaps w:val="false"/>
          <w:strike w:val="false"/>
          <w:dstrike w:val="false"/>
          <w:color w:val="000000"/>
          <w:position w:val="0"/>
          <w:sz w:val="20"/>
          <w:sz w:val="20"/>
          <w:szCs w:val="20"/>
          <w:vertAlign w:val="baseline"/>
        </w:rPr>
        <w:t>A proposta deverá ser formulada de acordo com o valor final da disputa, sem emendas, rasuras ou entrelinhas, assinada por meio eletrônico com uso de certificação digital ICP-Brasil, pelo representante legal do licitante (ou seu procurador devidamente qualificado) e deverá conter, de acordo com o modelo definido neste edital, a identificação da licitação, o CNPJ e o nome empresarial completo do licitante</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a descrição do produto/serviço oferecido para cada item e/ou lote da licitação; o valor global, os preços unitários e globais por item e/ou lote, cotados em moeda corrente nacional; e o prazo de validade da proposta, que não poderá ser inferior ao estabelecido no edital.</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9.1.1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proposta definitiva deverá observar os preços unitários máximos da planilha de composição de preços fixada pelo edital e seus anexos, sob pena de desclassificação, inclusive quando o(s) lote(s) reunir(em) itens diversos e independente do critério de disputa.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9.1.2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Constatado erro de cálculo em qualquer operação, o(a) pregoeiro(a) poderá efetuar diligência visando sanar o erro ou falha, desde que não alterem a substância da proposta, do documento e sua validade jurídica.</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a Proposta de Preços o licitante arrematante, por meio de sistema eletrônico, deverá entregar:</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Carta Proposta de Preços, conforme Anexo III, deverá conter as seguintes informações:</w:t>
      </w:r>
    </w:p>
    <w:p>
      <w:pPr>
        <w:pStyle w:val="Normal1"/>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Preço total final proposto, cotado em reais, em algarismos e por extenso, com duas casas decimais, e ainda de acordo com o item 8.3 e seus subitens da Minuta do Contrato;</w:t>
      </w:r>
    </w:p>
    <w:p>
      <w:pPr>
        <w:pStyle w:val="Normal1"/>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Prazo de validade da proposta não inferior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 (XXXX)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contados a partir da data de abertura da licitação;</w:t>
      </w:r>
    </w:p>
    <w:p>
      <w:pPr>
        <w:pStyle w:val="Normal1"/>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39"/>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prazo de validade das propostas será estabelecido de forma justificada neste edital de acordo com as peculiaridades da licitação e do mercado próprio do objeto.</w:t>
            </w:r>
          </w:p>
        </w:tc>
      </w:tr>
    </w:tbl>
    <w:p>
      <w:pPr>
        <w:pStyle w:val="Normal1"/>
        <w:widowControl w:val="false"/>
        <w:shd w:val="clear" w:fill="FFFFFF"/>
        <w:tabs>
          <w:tab w:val="clear" w:pos="720"/>
          <w:tab w:val="left" w:pos="851" w:leader="none"/>
        </w:tabs>
        <w:spacing w:lineRule="auto" w:line="240" w:before="57" w:after="57"/>
        <w:ind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Assinatura do representante legal, identificando-o com o nome e o CPF;</w:t>
      </w:r>
    </w:p>
    <w:p>
      <w:pPr>
        <w:pStyle w:val="Normal1"/>
        <w:widowControl w:val="false"/>
        <w:shd w:val="clear" w:fill="FFFFFF"/>
        <w:tabs>
          <w:tab w:val="clear" w:pos="720"/>
          <w:tab w:val="left" w:pos="851"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Razão Social e CNPJ do licitante;</w:t>
      </w:r>
    </w:p>
    <w:p>
      <w:pPr>
        <w:pStyle w:val="Normal1"/>
        <w:widowControl w:val="false"/>
        <w:shd w:val="clear" w:fill="FFFFFF"/>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9.3.5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haja divergência entre o valor da proposta numérico e o valor por extenso, prevalecerá este último;</w:t>
      </w:r>
    </w:p>
    <w:p>
      <w:pPr>
        <w:pStyle w:val="Normal1"/>
        <w:widowControl w:val="false"/>
        <w:shd w:val="clear" w:fill="FFFFFF"/>
        <w:tabs>
          <w:tab w:val="clear" w:pos="720"/>
          <w:tab w:val="left" w:pos="9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9.3.6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No arredondamento do cálculo do preço a ser apresentado na Carta proposta, deverá ser considerado somente duas casas decimais após a vírgula, desprezando-se as demais.</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Considera-se como representante legal qualquer pessoa credenciada pelo licitante, mediante contrato, procuração ou documento equivalente.</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9.4.1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Observação: cada credenciado poderá representar apenas um licitante.</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9.5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Microempresas ou Empresas de Pequeno Porte deverão anexar:</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declaração de que o licitante se enquadra na condição de Microempresa ou Empresa de Pequeno Porte, não se incluindo nas situações de que trata o artigo 3º, parágrafo 4º, da Lei Complementar Federal nº 123/2006 e suas alterações, conforme Anexo IV.</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falsidade de declaração prestada objetivando os benefícios instituídos à Microempresa e Empresa de Pequeno Porte caracteriza o crime de que trata o artigo 299 do Código Penal, sem prejuízo de enquadramento em outras figuras penais, bem como sujeitará a pessoa jurídica à sanção de impedimento de participar de licitações e de ser contratada por qualquer órgão ou entidade da Administração Pública pelo prazo de até cinco anos.</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Certidão Simplificada da Junta Comercial ou documento equivalente com os benefícios da Lei Complementar Federal nº 123/2006 e suas alterações, emitida em até no máximo 60 (sessenta) dias antes da data prevista para a abertura da Licitação.</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Demonstrativo de Resultado do Exercício – DRE, a que se refere a Resolução nº 1.418/2012, de Conselho Federal de Contabilidade – CFC, ou outra norma que vier a substituir.</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9.5.4</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Empresas que não se enquadram na definição de Microempresa ou Empresa de Pequeno Porte, ou ainda, que não desejem usufruir do tratamento diferenciado e favorecido que estabelece a Lei Complementar Federal nº 123/2006 e suas alterações, estão dispensadas de apresentar o documento descrito no item acima. A não comprovação da condição de Microempresa e Empresa de Pequeno Porte, implica participação no pleito sem os benefícios da Lei Complementar Federal nº 123/2006 e suas alterações.</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9.5.5.1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Cronograma Físico-Financeiro deverá prever parcelas a cada 30 (trinta) dias.</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deverá apresentar na última parcela valor não inferior a 11% (onze por cento) do valor global proposto;</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apresentado pela empresa vencedora do certame deverá ser aprovado pelo Órgão Licitante antes da assinatura do contrato;</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Cronograma Físico-Financeiro deverá ser assinado pelo Responsável Técnico do licitante, com menção do seu título profissional e número da Carteira Profissional;</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9.5.5.5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pPr>
        <w:pStyle w:val="Normal1"/>
        <w:widowControl w:val="false"/>
        <w:shd w:val="clear" w:fill="FFFFFF"/>
        <w:tabs>
          <w:tab w:val="clear" w:pos="720"/>
          <w:tab w:val="left" w:pos="426"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apresentação dos documentos constantes neste item faz prova de que o licitante arrematante:</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Tomou conhecimento de todas as informações, elementos técnicos instrutores e das condições locais para o cumprimento do objeto da licitação;</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Aceitou os termos deste Edital;</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9.6.3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Sendo vencedora da licitação assumirá integral responsabilidade pela perfeita e completa execução dos serviços a serem contratados.</w:t>
      </w:r>
    </w:p>
    <w:p>
      <w:pPr>
        <w:pStyle w:val="Normal1"/>
        <w:shd w:val="clear" w:fill="FFFFFF"/>
        <w:spacing w:lineRule="auto" w:line="240" w:before="57" w:after="57"/>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9.7</w:t>
      </w:r>
      <w:r>
        <w:rPr>
          <w:rFonts w:eastAsia="Arial" w:cs="Arial" w:ascii="Arial" w:hAnsi="Arial"/>
          <w:b w:val="false"/>
          <w:i/>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especificações do objeto contidas na proposta vinculam a Contratada.</w:t>
      </w:r>
    </w:p>
    <w:p>
      <w:pPr>
        <w:pStyle w:val="Normal1"/>
        <w:shd w:val="clear" w:fill="FFFFFF"/>
        <w:spacing w:lineRule="auto" w:line="240" w:before="57" w:after="57"/>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Nos valores propostos estarão inclusos todos os custos operacionais, encargos previdenciários, trabalhistas, tributários, comerciais e quaisquer outros que incidam direta ou indiretamente na execução do objeto.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1"/>
        <w:shd w:val="clear" w:fill="FFFFFF"/>
        <w:spacing w:lineRule="auto" w:line="240" w:before="57" w:after="57"/>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9.10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ofertas de propostas dos licitantes devem respeitar os preços máximos estabelecidos neste Edital.</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Nos termos do §1º do Art. 63 da Lei Federal n.º 14.133/2021, o licitante deverá declarar, sob pena de desclassificação, que sua proposta econômica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conforme Anexo III.</w:t>
      </w:r>
    </w:p>
    <w:p>
      <w:pPr>
        <w:pStyle w:val="Normal1"/>
        <w:widowControl w:val="false"/>
        <w:shd w:val="clear" w:fill="FFFFFF"/>
        <w:tabs>
          <w:tab w:val="clear" w:pos="720"/>
          <w:tab w:val="left" w:pos="426"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10. OS RECURSOS</w:t>
      </w:r>
    </w:p>
    <w:p>
      <w:pPr>
        <w:pStyle w:val="Normal1"/>
        <w:shd w:val="clear" w:fill="FFFFFF"/>
        <w:spacing w:lineRule="auto" w:line="240" w:before="57" w:after="0"/>
        <w:ind w:hanging="0" w:left="9" w:right="-55"/>
        <w:jc w:val="both"/>
        <w:rPr>
          <w:rFonts w:ascii="Arial" w:hAnsi="Arial"/>
          <w:sz w:val="20"/>
          <w:szCs w:val="20"/>
        </w:rPr>
      </w:pPr>
      <w:bookmarkStart w:id="5" w:name="_heading=h.tyjcwt"/>
      <w:bookmarkEnd w:id="5"/>
      <w:r>
        <w:rPr>
          <w:rFonts w:eastAsia="Arial" w:cs="Arial" w:ascii="Arial" w:hAnsi="Arial"/>
          <w:b/>
          <w:i w:val="false"/>
          <w:caps w:val="false"/>
          <w:smallCaps w:val="false"/>
          <w:strike w:val="false"/>
          <w:dstrike w:val="false"/>
          <w:color w:val="000000"/>
          <w:position w:val="0"/>
          <w:sz w:val="20"/>
          <w:sz w:val="20"/>
          <w:szCs w:val="20"/>
          <w:highlight w:val="white"/>
          <w:vertAlign w:val="baseline"/>
        </w:rPr>
        <w:t>10.1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 para apresentação das razões recursais após a formalização do término da etapa de antecede a adjudicação.</w:t>
      </w:r>
    </w:p>
    <w:p>
      <w:pPr>
        <w:pStyle w:val="Normal1"/>
        <w:shd w:val="clear" w:fill="FFFFFF"/>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10.1.1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As razões recursais devem ser apresentadas exclusivamente por meio eletrônico e com uso de certificação digital ICP-Brasil.</w:t>
      </w:r>
    </w:p>
    <w:p>
      <w:pPr>
        <w:pStyle w:val="Normal1"/>
        <w:shd w:val="clear" w:fill="FFFFFF"/>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10.1.2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certificação digital ICP-Brasil.</w:t>
      </w:r>
    </w:p>
    <w:p>
      <w:pPr>
        <w:pStyle w:val="Normal1"/>
        <w:shd w:val="clear" w:fill="FFFFFF"/>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não apresentação das razões recursos no prazo fixado implicará a decadência do direito de recorrer.</w:t>
      </w:r>
    </w:p>
    <w:p>
      <w:pPr>
        <w:pStyle w:val="Normal1"/>
        <w:shd w:val="clear" w:fill="FFFFFF"/>
        <w:spacing w:lineRule="auto" w:line="240" w:before="57" w:after="0"/>
        <w:ind w:hanging="0" w:left="9" w:right="-55"/>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razões e as contrarrazões de recurso que não forem apresentadas conforme o disposto nos itens anteriores, ou subscritas por representante não habilitado ou não credenciado para responder pelo licitante, não serão conhecidas pelo(a) pregoeiro(a).</w:t>
      </w:r>
    </w:p>
    <w:p>
      <w:pPr>
        <w:pStyle w:val="Normal1"/>
        <w:keepNext w:val="false"/>
        <w:keepLines w:val="false"/>
        <w:pageBreakBefore w:val="false"/>
        <w:widowControl/>
        <w:shd w:val="clear" w:fill="FFFFFF"/>
        <w:spacing w:lineRule="auto" w:line="276" w:before="280" w:after="280"/>
        <w:ind w:hanging="0" w:left="0" w:right="0"/>
        <w:jc w:val="left"/>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10.4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autos do processo de licitação poderão ser acessados pelos interessados no sistema E-Protocolo no site </w:t>
      </w:r>
      <w:hyperlink r:id="rId13">
        <w:r>
          <w:rPr>
            <w:rStyle w:val="ListLabel112"/>
            <w:rFonts w:eastAsia="Arial" w:cs="Arial" w:ascii="Arial" w:hAnsi="Arial"/>
            <w:b w:val="false"/>
            <w:i w:val="false"/>
            <w:caps w:val="false"/>
            <w:smallCaps w:val="false"/>
            <w:strike w:val="false"/>
            <w:dstrike w:val="false"/>
            <w:color w:val="000080"/>
            <w:position w:val="0"/>
            <w:sz w:val="20"/>
            <w:sz w:val="20"/>
            <w:szCs w:val="20"/>
            <w:u w:val="single"/>
            <w:shd w:fill="auto" w:val="clear"/>
            <w:vertAlign w:val="baseline"/>
          </w:rPr>
          <w:t>https://www.e-protocolo.pr.gov.br</w:t>
        </w:r>
      </w:hyperlink>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shd w:val="clear" w:fill="FFFFFF"/>
        <w:spacing w:lineRule="auto" w:line="276" w:before="57"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10.5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acolhimento do recurso implicará invalidação apenas de ato insuscetível de aproveitamento.</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11. ADJUDICAÇÃO E HOMOLOGAÇÃO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11.1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Examinada a aceitabilidade da proposta e a regularidade e a habilitação do licitante vencedor,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o procedimento licitatório será encaminhado pelo(a) pregoeiro(a) à autoridade máxima para adjudicação e homologação.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Será permitida a adjudicação e a homologação parcial do procedimento licitatório, quando o seu objeto possuir mais de um lote.</w:t>
      </w:r>
    </w:p>
    <w:p>
      <w:pPr>
        <w:pStyle w:val="Normal1"/>
        <w:shd w:val="clear" w:fill="FFFFFF"/>
        <w:tabs>
          <w:tab w:val="clear" w:pos="720"/>
          <w:tab w:val="left" w:pos="293"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 CONTRATO, RECEBIMENTO E PAGAMENTO</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O adjudicatário será notificado para assinar o contrato ou retirar a nota de empenho (ou documento equivalente) no prazo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 (xxxx)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dias úteis, prorrogável a critério</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do órgão ou entidade contratante, sob pena de decair do direito à contratação e incidir nas penalidades previstas neste edital.</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Para a assinatura do contrato ou retirada da nota de empenho, o adjudicatário deverá estar credenciado no Portal Nacional de Contratações Públicas (PNCP) e no Cadastro Unificado de Fornecedores do Estado do Paraná – CAUFPR, mantendo as condições de habilitação exigidas na licitação, para a comprovação das condições de habilitação consignadas no edital, que deverão ser mantidas pelo licitante durante a vigência do contrato.</w:t>
      </w:r>
    </w:p>
    <w:p>
      <w:pPr>
        <w:pStyle w:val="Normal1"/>
        <w:widowControl w:val="false"/>
        <w:shd w:val="clear" w:fill="FFFFFF"/>
        <w:tabs>
          <w:tab w:val="clear" w:pos="720"/>
          <w:tab w:val="left" w:pos="27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12.3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Antes da assinatura do contrato, a Administração realizará consulta ao Cadastro Informativo Estadual – Cadin Estadual, haja vista a vedação contida no art. 3º, inc. I, da Lei Estadual nº 18.466, de 2015.</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adjudicatário deverá, antes da assinatura do contrato, apresentar Planilha Orçamentária para aprovação do Órgão Licitante.</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bookmarkStart w:id="6" w:name="_heading=h.3dy6vkm"/>
      <w:bookmarkEnd w:id="6"/>
      <w:r>
        <w:rPr>
          <w:rFonts w:eastAsia="Arial" w:cs="Arial" w:ascii="Arial" w:hAnsi="Arial"/>
          <w:b/>
          <w:i w:val="false"/>
          <w:caps w:val="false"/>
          <w:smallCaps w:val="false"/>
          <w:strike w:val="false"/>
          <w:dstrike w:val="false"/>
          <w:color w:val="000000"/>
          <w:position w:val="0"/>
          <w:sz w:val="20"/>
          <w:sz w:val="20"/>
          <w:szCs w:val="20"/>
          <w:highlight w:val="white"/>
          <w:vertAlign w:val="baseline"/>
        </w:rPr>
        <w:t>12.5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adjudicatário deverá assinar o Contrato no prazo máximo 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 (xxxx) dias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úteis após o recebimento da convocação, podendo ser prorrogado por igual período mediante justificativa idônea aprovado pelo órgão licitante, contados a partir do recebimento do aviso, sob pena de decair do direito à contratação, sem prejuízo das sanções previstas neste Edital.</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12.6 </w:t>
      </w:r>
      <w:bookmarkStart w:id="7" w:name="bookmark=id.1t3h5sf"/>
      <w:bookmarkEnd w:id="7"/>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Se o adjudicatário não apresentar as comprovações dos itens 12.2 e 12.3 ou se recusar a assinar o contrato ou retirar a nota de empenho, a Administração Pública poderá revogar a licitação, sem prejuízo da aplicação das cominações previstas na Lei Federal n.º 14.133/2021, e do Decreto n.º 10.086/2022, ou ainda, convocar os licitantes remanescentes, na ordem de classificação, para a celebração do contrato nas condições ofertadas pelo licitante vencedor.</w:t>
      </w:r>
      <w:bookmarkStart w:id="8" w:name="bookmark=id.4d34og8"/>
      <w:bookmarkEnd w:id="8"/>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12.7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recusa injustificada do adjudicatário ou a justificativa não aceita pela Administração, implicará a instauração de procedimento administrativo autônomo para eventual aplicação de sanções administrativas.</w:t>
      </w:r>
    </w:p>
    <w:p>
      <w:pPr>
        <w:pStyle w:val="Normal1"/>
        <w:widowControl w:val="false"/>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12.8 </w:t>
      </w:r>
      <w:r>
        <w:rPr>
          <w:rFonts w:eastAsia="Arial" w:cs="Arial" w:ascii="Arial" w:hAnsi="Arial"/>
          <w:b w:val="false"/>
          <w:i w:val="false"/>
          <w:caps w:val="false"/>
          <w:smallCaps w:val="false"/>
          <w:strike w:val="false"/>
          <w:dstrike w:val="false"/>
          <w:color w:val="000000"/>
          <w:position w:val="0"/>
          <w:sz w:val="20"/>
          <w:sz w:val="20"/>
          <w:szCs w:val="20"/>
          <w:vertAlign w:val="baseline"/>
        </w:rPr>
        <w:t>Na hipótese de nenhum dos licitantes aceitar a contratação nos termos do item 12.6, a Administração Pública poderá convocar os licitantes remanescentes, na ordem de classificação, para a celebração do contrato nas condições ofertadas por estes, desde que o valor seja igual ou inferior ao orçamento estimado para a contratação, inclusive quanto aos preços atualizados, nos termos do instrumento convocatório.</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Ordem de Serviço deverá ser assinada pelo contratado no prazo máximo de até</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[xx (XXXX)]</w:t>
      </w:r>
      <w:r>
        <w:rPr>
          <w:rFonts w:eastAsia="Arial" w:cs="Arial" w:ascii="Arial" w:hAnsi="Arial"/>
          <w:b w:val="false"/>
          <w:i w:val="false"/>
          <w:caps w:val="false"/>
          <w:smallCaps w:val="false"/>
          <w:strike w:val="false"/>
          <w:dstrike w:val="false"/>
          <w:color w:val="FF4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dias após a convocação pelo Órgão Licitante, podendo ser prorrogado por igual período mediante justificativa idônea aprovado pelo órgão licitante.</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12.10 </w:t>
      </w:r>
      <w:r>
        <w:rPr>
          <w:rFonts w:eastAsia="Arial" w:cs="Arial" w:ascii="Arial" w:hAnsi="Arial"/>
          <w:b w:val="false"/>
          <w:i w:val="false"/>
          <w:caps w:val="false"/>
          <w:smallCaps w:val="false"/>
          <w:strike w:val="false"/>
          <w:dstrike w:val="false"/>
          <w:color w:val="000000"/>
          <w:position w:val="0"/>
          <w:sz w:val="20"/>
          <w:sz w:val="20"/>
          <w:szCs w:val="20"/>
          <w:vertAlign w:val="baseline"/>
        </w:rPr>
        <w:t>No ato da assinatura, a contratada fica obrigada a apresentar:</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12.10.1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Comprovação das condições de habilitação do Edital, conforme</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XV</w:t>
      </w:r>
      <w:r>
        <w:rPr>
          <w:rFonts w:eastAsia="Arial" w:cs="Arial" w:ascii="Arial" w:hAnsi="Arial"/>
          <w:b w:val="false"/>
          <w:i w:val="false"/>
          <w:caps w:val="false"/>
          <w:smallCaps w:val="false"/>
          <w:strike w:val="false"/>
          <w:dstrike w:val="false"/>
          <w:position w:val="0"/>
          <w:sz w:val="20"/>
          <w:sz w:val="20"/>
          <w:szCs w:val="20"/>
          <w:highlight w:val="white"/>
          <w:vertAlign w:val="baseline"/>
        </w:rPr>
        <w:t>, 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s quais deverão ser mantidas durante a vigência do contrato.</w:t>
      </w:r>
    </w:p>
    <w:p>
      <w:pPr>
        <w:pStyle w:val="Normal1"/>
        <w:keepNext w:val="false"/>
        <w:keepLines w:val="false"/>
        <w:pageBreakBefore w:val="false"/>
        <w:widowControl/>
        <w:shd w:val="clear" w:fill="FFFFFF"/>
        <w:spacing w:lineRule="auto" w:line="276" w:before="57" w:after="57"/>
        <w:ind w:hanging="0" w:left="0" w:right="0"/>
        <w:jc w:val="left"/>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12.10.2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certidão de registro com visto do CREA-PR e/ou CAU-PR, de acordo com o regulamento do respectivo conselho de classe, da Lei Federal n.º 5.194/1966, da Lei Federal n.º 12.378/2010.</w:t>
      </w:r>
    </w:p>
    <w:p>
      <w:pPr>
        <w:pStyle w:val="Normal1"/>
        <w:widowControl w:val="false"/>
        <w:shd w:val="clear" w:fill="FFFFFF"/>
        <w:tabs>
          <w:tab w:val="clear" w:pos="720"/>
          <w:tab w:val="left" w:pos="851" w:leader="none"/>
        </w:tabs>
        <w:spacing w:lineRule="auto" w:line="240" w:before="57" w:after="57"/>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4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57" w:after="57"/>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No caso de o prazo de execução ser superior a 180 (cento e oitenta) dias a adjudicatária, antes da assinatura do contrato, deverá providenciar o registro no respectivo conselho de classe no estado do Paraná; caso o prazo o prazo de execução seja inferior ou igual a 180 (cento e oitenta) dias deverá solicitar visto no respectivo conselho do estado do Paraná.</w:t>
            </w:r>
          </w:p>
        </w:tc>
      </w:tr>
    </w:tbl>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serviços licitados serão liberados para execução mediante Ordem de Serviço, subordinando-se às condições estabelecidas no contrato a ser firmado entre as partes, devendo a referida Ordem de </w:t>
      </w:r>
      <w:r>
        <w:rPr>
          <w:rFonts w:eastAsia="Arial" w:cs="Arial" w:ascii="Arial" w:hAnsi="Arial"/>
          <w:b w:val="false"/>
          <w:i w:val="false"/>
          <w:caps w:val="false"/>
          <w:smallCaps w:val="false"/>
          <w:strike w:val="false"/>
          <w:dstrike w:val="false"/>
          <w:color w:val="000000"/>
          <w:position w:val="0"/>
          <w:sz w:val="20"/>
          <w:sz w:val="20"/>
          <w:szCs w:val="20"/>
          <w:vertAlign w:val="baseline"/>
        </w:rPr>
        <w:t>Serviço ser assinada pelo representante legal do Contratado.</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Contratado deverá comprovar o vínculo jurídico de toda a equipe técnica por meio da apresentação de documentos (ou fotocópias autenticadas na forma da Lei), conforme Anexo V do presente Edital.</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12.13 </w:t>
      </w:r>
      <w:r>
        <w:rPr>
          <w:rFonts w:eastAsia="Arial" w:cs="Arial" w:ascii="Arial" w:hAnsi="Arial"/>
          <w:b w:val="false"/>
          <w:i w:val="false"/>
          <w:caps w:val="false"/>
          <w:smallCaps w:val="false"/>
          <w:strike w:val="false"/>
          <w:dstrike w:val="false"/>
          <w:color w:val="000000"/>
          <w:position w:val="0"/>
          <w:sz w:val="20"/>
          <w:sz w:val="20"/>
          <w:szCs w:val="20"/>
          <w:vertAlign w:val="baseline"/>
        </w:rPr>
        <w:t>Os profissionais indicados pelo Licitante deverão participar dos serviços objeto desta licitação, de acordo com o disposto no § 6.º do artigo 67 da Lei Federal n.º 14.133, de 2021 e atos normativos dos respectivos conselhos profissionais.</w:t>
      </w:r>
    </w:p>
    <w:p>
      <w:pPr>
        <w:pStyle w:val="Normal1"/>
        <w:widowControl w:val="false"/>
        <w:shd w:val="clear" w:fill="FFFFFF"/>
        <w:tabs>
          <w:tab w:val="clear" w:pos="720"/>
          <w:tab w:val="left" w:pos="567"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12.14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contratado deverá apresentar a ART do CREA e/ou o RRT do CAU, acompanhadas do comprovante de pagamento do referido documento até a da</w:t>
      </w:r>
      <w:r>
        <w:rPr>
          <w:rFonts w:eastAsia="Arial" w:cs="Arial" w:ascii="Arial" w:hAnsi="Arial"/>
          <w:b w:val="false"/>
          <w:i w:val="false"/>
          <w:caps w:val="false"/>
          <w:smallCaps w:val="false"/>
          <w:strike w:val="false"/>
          <w:dstrike w:val="false"/>
          <w:color w:val="000000"/>
          <w:position w:val="0"/>
          <w:sz w:val="20"/>
          <w:sz w:val="20"/>
          <w:szCs w:val="20"/>
          <w:vertAlign w:val="baseline"/>
        </w:rPr>
        <w:t>ta da assinatura do Contrato.</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12.14.1 </w:t>
      </w:r>
      <w:r>
        <w:rPr>
          <w:rFonts w:eastAsia="Arial" w:cs="Arial" w:ascii="Arial" w:hAnsi="Arial"/>
          <w:b w:val="false"/>
          <w:i w:val="false"/>
          <w:caps w:val="false"/>
          <w:smallCaps w:val="false"/>
          <w:strike w:val="false"/>
          <w:dstrike w:val="false"/>
          <w:color w:val="000000"/>
          <w:position w:val="0"/>
          <w:sz w:val="20"/>
          <w:sz w:val="20"/>
          <w:szCs w:val="20"/>
          <w:vertAlign w:val="baseline"/>
        </w:rPr>
        <w:t>Deverá ser registrada a ART e/ou o RRT, conforme preceitua a legislação vigente, em nome do Responsável Técnico constante da Declaração de Responsabilidade Técnica, indicado conforme</w:t>
      </w:r>
      <w:r>
        <w:rPr>
          <w:rFonts w:eastAsia="Arial" w:cs="Arial" w:ascii="Arial" w:hAnsi="Arial"/>
          <w:b w:val="false"/>
          <w:i w:val="false"/>
          <w:caps w:val="false"/>
          <w:smallCaps w:val="false"/>
          <w:strike w:val="false"/>
          <w:dstrike w:val="false"/>
          <w:color w:val="C9211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Anexo V.</w:t>
      </w:r>
    </w:p>
    <w:p>
      <w:pPr>
        <w:pStyle w:val="Normal1"/>
        <w:widowControl w:val="false"/>
        <w:shd w:val="clear" w:fill="FFFFFF"/>
        <w:tabs>
          <w:tab w:val="clear" w:pos="720"/>
          <w:tab w:val="left" w:pos="70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12.14.2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Caso os Profissionais indicados n</w:t>
      </w:r>
      <w:r>
        <w:rPr>
          <w:rFonts w:eastAsia="Arial" w:cs="Arial" w:ascii="Arial" w:hAnsi="Arial"/>
          <w:b w:val="false"/>
          <w:i w:val="false"/>
          <w:caps w:val="false"/>
          <w:smallCaps w:val="false"/>
          <w:strike w:val="false"/>
          <w:dstrike w:val="false"/>
          <w:position w:val="0"/>
          <w:sz w:val="20"/>
          <w:sz w:val="20"/>
          <w:szCs w:val="20"/>
          <w:vertAlign w:val="baseline"/>
        </w:rPr>
        <w:t xml:space="preserve">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Anexo V </w:t>
      </w:r>
      <w:r>
        <w:rPr>
          <w:rFonts w:eastAsia="Arial" w:cs="Arial" w:ascii="Arial" w:hAnsi="Arial"/>
          <w:b w:val="false"/>
          <w:i w:val="false"/>
          <w:caps w:val="false"/>
          <w:smallCaps w:val="false"/>
          <w:strike w:val="false"/>
          <w:dstrike w:val="false"/>
          <w:position w:val="0"/>
          <w:sz w:val="20"/>
          <w:sz w:val="20"/>
          <w:szCs w:val="20"/>
          <w:vertAlign w:val="baseline"/>
        </w:rPr>
        <w:t>se</w:t>
      </w:r>
      <w:r>
        <w:rPr>
          <w:rFonts w:eastAsia="Arial" w:cs="Arial" w:ascii="Arial" w:hAnsi="Arial"/>
          <w:b w:val="false"/>
          <w:i w:val="false"/>
          <w:caps w:val="false"/>
          <w:smallCaps w:val="false"/>
          <w:strike w:val="false"/>
          <w:dstrike w:val="false"/>
          <w:color w:val="000000"/>
          <w:position w:val="0"/>
          <w:sz w:val="20"/>
          <w:sz w:val="20"/>
          <w:szCs w:val="20"/>
          <w:vertAlign w:val="baseline"/>
        </w:rPr>
        <w:t>jam corresponsáveis, o contratado deverá providenciar as ARTs e/ou RRTs Complementares para os Profissionais, instituindo a corresponsabilidade técnica na execução dos serviços. As ARTs e/ou RRTs deverão corresponder às atividades que serão exercidas pelos profissionais, limitadas ao respectivo grau de responsabilidade.</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12.15 </w:t>
      </w:r>
      <w:r>
        <w:rPr>
          <w:rFonts w:eastAsia="Arial" w:cs="Arial" w:ascii="Arial" w:hAnsi="Arial"/>
          <w:b w:val="false"/>
          <w:i w:val="false"/>
          <w:caps w:val="false"/>
          <w:smallCaps w:val="false"/>
          <w:strike w:val="false"/>
          <w:dstrike w:val="false"/>
          <w:color w:val="000000"/>
          <w:position w:val="0"/>
          <w:sz w:val="20"/>
          <w:sz w:val="20"/>
          <w:szCs w:val="20"/>
          <w:vertAlign w:val="baseline"/>
        </w:rPr>
        <w:t>Os pagamentos ficarão condicionados à prévia informação pelo credor dos dados da conta-corrente junto à instituição financeira contratada pelo Estado, conforme o disposto no Decreto Estadual n.º 4.505, de 2016, ressalvadas as exceções previstas na mesma norma.</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12.16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entrega, o recebimento do objeto da licitação e os pagamentos serão efetuados no local, nos prazos e na forma estabelecida nos anexos deste edital.</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12.17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pPr>
        <w:pStyle w:val="Normal1"/>
        <w:shd w:val="clear" w:fill="FFFFFF"/>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EM = I x N x VP, sendo:</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EM = Encargos moratórios;</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N = Número de dias entre a data prevista para o pagamento e a do efetivo pagamento;</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VP = Valor da parcela a ser paga.</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I = Índice de compensação financeira = 0,00016438, assim apurado:</w:t>
      </w:r>
    </w:p>
    <w:tbl>
      <w:tblPr>
        <w:tblStyle w:val="Table41"/>
        <w:tblW w:w="4609" w:type="dxa"/>
        <w:jc w:val="left"/>
        <w:tblInd w:w="-70" w:type="dxa"/>
        <w:tblLayout w:type="fixed"/>
        <w:tblCellMar>
          <w:top w:w="0" w:type="dxa"/>
          <w:left w:w="108" w:type="dxa"/>
          <w:bottom w:w="0" w:type="dxa"/>
          <w:right w:w="108" w:type="dxa"/>
        </w:tblCellMar>
        <w:tblLook w:val="0000"/>
      </w:tblPr>
      <w:tblGrid>
        <w:gridCol w:w="800"/>
        <w:gridCol w:w="1067"/>
        <w:gridCol w:w="2742"/>
      </w:tblGrid>
      <w:tr>
        <w:trPr>
          <w:trHeight w:val="859" w:hRule="atLeast"/>
        </w:trPr>
        <w:tc>
          <w:tcPr>
            <w:tcW w:w="800" w:type="dxa"/>
            <w:tcBorders/>
            <w:shd w:fill="auto" w:val="clear"/>
            <w:vAlign w:val="center"/>
          </w:tcPr>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I = (TX)</w:t>
            </w:r>
          </w:p>
          <w:p>
            <w:pPr>
              <w:pStyle w:val="Normal1"/>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c>
          <w:tcPr>
            <w:tcW w:w="1067" w:type="dxa"/>
            <w:tcBorders/>
            <w:shd w:fill="auto" w:val="clear"/>
            <w:vAlign w:val="center"/>
          </w:tcPr>
          <w:p>
            <w:pPr>
              <w:pStyle w:val="Normal1"/>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I = </w:t>
            </w:r>
            <w:r>
              <w:rPr>
                <w:rFonts w:eastAsia="Arial" w:cs="Arial" w:ascii="Arial" w:hAnsi="Arial"/>
                <w:b w:val="false"/>
                <w:i w:val="false"/>
                <w:caps w:val="false"/>
                <w:smallCaps w:val="false"/>
                <w:strike w:val="false"/>
                <w:dstrike w:val="false"/>
                <w:color w:val="000000"/>
                <w:position w:val="0"/>
                <w:sz w:val="20"/>
                <w:sz w:val="20"/>
                <w:szCs w:val="20"/>
                <w:highlight w:val="white"/>
                <w:u w:val="single"/>
                <w:vertAlign w:val="baseline"/>
              </w:rPr>
              <w:t>(6/100)</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365</w:t>
            </w:r>
          </w:p>
          <w:p>
            <w:pPr>
              <w:pStyle w:val="Normal1"/>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c>
          <w:tcPr>
            <w:tcW w:w="2742" w:type="dxa"/>
            <w:tcBorders/>
            <w:shd w:fill="auto" w:val="clear"/>
            <w:vAlign w:val="center"/>
          </w:tcPr>
          <w:p>
            <w:pPr>
              <w:pStyle w:val="Normal1"/>
              <w:shd w:val="clear" w:fill="FFFFFF"/>
              <w:tabs>
                <w:tab w:val="clear" w:pos="720"/>
                <w:tab w:val="left" w:pos="1710" w:leader="none"/>
              </w:tabs>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I = 0,00016438</w:t>
            </w:r>
          </w:p>
          <w:p>
            <w:pPr>
              <w:pStyle w:val="Normal1"/>
              <w:shd w:val="clear" w:fill="FFFFFF"/>
              <w:tabs>
                <w:tab w:val="clear" w:pos="720"/>
                <w:tab w:val="left" w:pos="1710" w:leader="none"/>
              </w:tabs>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TX = Percentual da taxa anual = 6%.</w:t>
            </w:r>
          </w:p>
        </w:tc>
      </w:tr>
    </w:tbl>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12.18</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Antes de cada pagamento, o contratante deverá realizar consulta no Portal Nacional de Contratações Públicas e no Cadastro Unificado de Fornecedores do Estado do Paraná – CAUFPR para verificar a manutenção das condições de habilitação definidas neste edital.</w:t>
      </w:r>
    </w:p>
    <w:p>
      <w:pPr>
        <w:pStyle w:val="Normal1"/>
        <w:shd w:val="clear" w:fill="FFFFFF"/>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Heading2"/>
        <w:numPr>
          <w:ilvl w:val="1"/>
          <w:numId w:val="1"/>
        </w:numPr>
        <w:shd w:val="clear" w:fill="FFFFFF"/>
        <w:spacing w:lineRule="auto" w:line="240" w:before="57" w:after="57"/>
        <w:ind w:hanging="0" w:left="0" w:right="0"/>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 SUBCONTRATAÇÃO</w:t>
      </w:r>
    </w:p>
    <w:p>
      <w:pPr>
        <w:pStyle w:val="Recuodecorpodetexto21"/>
        <w:shd w:val="clear" w:fill="FFFFFF"/>
        <w:spacing w:lineRule="auto" w:line="240" w:before="57" w:after="57"/>
        <w:ind w:hanging="0" w:left="0" w:right="0"/>
        <w:rPr>
          <w:rFonts w:ascii="Arial" w:hAnsi="Arial" w:eastAsia="Arial" w:cs="Arial"/>
          <w:b/>
          <w:i w:val="false"/>
          <w:i w:val="false"/>
          <w:caps w:val="false"/>
          <w:smallCaps w:val="false"/>
          <w:strike w:val="false"/>
          <w:dstrike w:val="false"/>
          <w:color w:val="000000"/>
          <w:position w:val="0"/>
          <w:sz w:val="20"/>
          <w:sz w:val="20"/>
          <w:szCs w:val="20"/>
          <w:highlight w:val="white"/>
          <w:vertAlign w:val="baseline"/>
        </w:rPr>
      </w:pPr>
      <w:r>
        <w:rPr>
          <w:rFonts w:eastAsia="Arial" w:cs="Arial"/>
          <w:b/>
          <w:i w:val="false"/>
          <w:caps w:val="false"/>
          <w:smallCaps w:val="false"/>
          <w:strike w:val="false"/>
          <w:dstrike w:val="false"/>
          <w:color w:val="000000"/>
          <w:position w:val="0"/>
          <w:sz w:val="20"/>
          <w:sz w:val="20"/>
          <w:szCs w:val="20"/>
          <w:highlight w:val="white"/>
          <w:vertAlign w:val="baseline"/>
        </w:rPr>
      </w:r>
    </w:p>
    <w:tbl>
      <w:tblPr>
        <w:tblW w:w="9075" w:type="dxa"/>
        <w:jc w:val="left"/>
        <w:tblInd w:w="52" w:type="dxa"/>
        <w:tblLayout w:type="fixed"/>
        <w:tblCellMar>
          <w:top w:w="0" w:type="dxa"/>
          <w:left w:w="108" w:type="dxa"/>
          <w:bottom w:w="0" w:type="dxa"/>
          <w:right w:w="108" w:type="dxa"/>
        </w:tblCellMar>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shd w:val="clear" w:fill="FFFF00"/>
              <w:spacing w:lineRule="auto" w:line="240" w:before="57" w:after="57"/>
              <w:ind w:hanging="0" w:left="360" w:right="0"/>
              <w:jc w:val="both"/>
              <w:rPr>
                <w:rFonts w:ascii="Arial" w:hAnsi="Arial" w:eastAsia="Arial" w:cs="Arial"/>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u w:val="none"/>
                <w:vertAlign w:val="baseline"/>
              </w:rPr>
              <w:fldChar w:fldCharType="begin"/>
            </w:r>
            <w:r>
              <w:rPr>
                <w:smallCaps w:val="false"/>
                <w:caps w:val="false"/>
                <w:dstrike w:val="false"/>
                <w:strike w:val="false"/>
                <w:vertAlign w:val="baseline"/>
                <w:position w:val="0"/>
                <w:sz w:val="20"/>
                <w:sz w:val="20"/>
                <w:i w:val="false"/>
                <w:u w:val="non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u w:val="none"/>
                <w:b/>
                <w:szCs w:val="20"/>
                <w:rFonts w:eastAsia="Arial" w:cs="Arial" w:ascii="Arial" w:hAnsi="Arial"/>
                <w:color w:val="000000"/>
              </w:rPr>
              <w:t>22</w:t>
            </w:r>
            <w:r>
              <w:rPr>
                <w:smallCaps w:val="false"/>
                <w:caps w:val="false"/>
                <w:dstrike w:val="false"/>
                <w:strike w:val="false"/>
                <w:vertAlign w:val="baseline"/>
                <w:position w:val="0"/>
                <w:sz w:val="20"/>
                <w:sz w:val="20"/>
                <w:i w:val="false"/>
                <w:u w:val="non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u w:val="none"/>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vertAlign w:val="baseline"/>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Dispõe a Lei Federal n.º 14.133, de 2021, em seu art. </w:t>
            </w:r>
            <w:r>
              <w:rPr>
                <w:rFonts w:eastAsia="Arial" w:cs="Arial" w:ascii="Arial" w:hAnsi="Arial"/>
                <w:b w:val="false"/>
                <w:i/>
                <w:caps w:val="false"/>
                <w:smallCaps w:val="false"/>
                <w:strike w:val="false"/>
                <w:dstrike w:val="false"/>
                <w:color w:val="000000"/>
                <w:position w:val="0"/>
                <w:sz w:val="20"/>
                <w:sz w:val="20"/>
                <w:szCs w:val="20"/>
                <w:vertAlign w:val="baseline"/>
              </w:rPr>
              <w:t>122</w:t>
            </w:r>
            <w:r>
              <w:rPr>
                <w:rFonts w:eastAsia="Arial" w:cs="Arial" w:ascii="Arial" w:hAnsi="Arial"/>
                <w:b w:val="false"/>
                <w:i w:val="false"/>
                <w:caps w:val="false"/>
                <w:smallCaps w:val="false"/>
                <w:strike w:val="false"/>
                <w:dstrike w:val="false"/>
                <w:color w:val="000000"/>
                <w:position w:val="0"/>
                <w:sz w:val="20"/>
                <w:sz w:val="20"/>
                <w:szCs w:val="20"/>
                <w:vertAlign w:val="baseline"/>
              </w:rPr>
              <w:t>, que o contratado, na execução do contrato, sem prejuízo das responsabilidades contratuais e legais, poderá subcontratar partes da obra, do serviço ou do fornecimento até o limite autorizado, em cada caso, pela Administração. A subcontratação, desde que prevista no instrumento convocatório, possibilita que terceiro, que não participou do certame licitatório, realize parte do objeto.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À Administração contratante cabe, exercitando a previsão do edital, autorizar a subcontratação mediante ato motivado, comprovando que atende às recomendações dos elementos técnicos instrutores e convém à consecução das finalidades do contrato. Caso admitida, cabe aos elementos técnicos instrutores estabelecer com detalhamentos seus limites e condições.</w:t>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setor competente deve, previamente, definir se será ou não admitida a subcontratação parcial do objeto em função de suas peculiaridades.</w:t>
            </w:r>
          </w:p>
          <w:p>
            <w:pPr>
              <w:pStyle w:val="Normal"/>
              <w:widowControl/>
              <w:shd w:val="clear" w:fill="FFFF00"/>
              <w:spacing w:lineRule="auto" w:line="240" w:before="57" w:after="57"/>
              <w:ind w:hanging="0" w:left="0" w:right="0"/>
              <w:jc w:val="both"/>
              <w:rPr>
                <w:rFonts w:eastAsia="Arial" w:cs="Arial"/>
                <w:b w:val="false"/>
                <w:i w:val="false"/>
                <w:i w:val="false"/>
                <w:caps w:val="false"/>
                <w:smallCaps w:val="false"/>
                <w:strike w:val="false"/>
                <w:dstrike w:val="false"/>
                <w:color w:val="000000"/>
                <w:position w:val="0"/>
                <w:sz w:val="22"/>
                <w:sz w:val="22"/>
                <w:u w:val="none"/>
                <w:vertAlign w:val="baseline"/>
              </w:rPr>
            </w:pPr>
            <w:r>
              <w:rPr>
                <w:rFonts w:eastAsia="Arial" w:cs="Arial"/>
                <w:b w:val="false"/>
                <w:i w:val="false"/>
                <w:caps w:val="false"/>
                <w:smallCaps w:val="false"/>
                <w:strike w:val="false"/>
                <w:dstrike w:val="false"/>
                <w:color w:val="000000"/>
                <w:position w:val="0"/>
                <w:sz w:val="22"/>
                <w:sz w:val="22"/>
                <w:u w:val="none"/>
                <w:vertAlign w:val="baseline"/>
              </w:rPr>
            </w:r>
          </w:p>
          <w:p>
            <w:pPr>
              <w:pStyle w:val="Normal"/>
              <w:widowControl/>
              <w:shd w:val="clear" w:fill="FFFF00"/>
              <w:spacing w:lineRule="auto" w:line="240" w:before="57" w:after="57"/>
              <w:ind w:hanging="0" w:left="0" w:right="0"/>
              <w:jc w:val="both"/>
              <w:rPr>
                <w:rFonts w:ascii="Arial" w:hAnsi="Arial"/>
                <w:sz w:val="20"/>
                <w:szCs w:val="20"/>
              </w:rPr>
            </w:pPr>
            <w:bookmarkStart w:id="9" w:name="bookmark=id.4d34og8_Copia_1"/>
            <w:bookmarkEnd w:id="9"/>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 admitida a subcontratação parcial do objeto, deve ser estipulado qual é o limite percentual e as condicionantes.</w:t>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subcontratação depende de autorização prévia do contratante, a quem incumbe avaliar se o subcontratado cumpre os requisitos de habilitação e qualificação exigidas na licitação.</w:t>
            </w:r>
            <w:bookmarkStart w:id="10" w:name="bookmark=id.17dp8vu"/>
            <w:bookmarkEnd w:id="10"/>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Quando a subcontratação for admitida, é imprescindível que o subcontratado preencha os requisitos de qualificação referente à parcela subcontratada, nos limites da Lei.</w:t>
            </w:r>
            <w:bookmarkStart w:id="11" w:name="bookmark=id.3rdcrjn"/>
            <w:bookmarkEnd w:id="11"/>
            <w:r>
              <w:rPr>
                <w:rFonts w:eastAsia="Arial" w:cs="Arial" w:ascii="Arial" w:hAnsi="Arial"/>
                <w:b w:val="false"/>
                <w:i w:val="false"/>
                <w:caps w:val="false"/>
                <w:smallCaps w:val="false"/>
                <w:strike w:val="false"/>
                <w:dstrike w:val="false"/>
                <w:color w:val="000000"/>
                <w:position w:val="0"/>
                <w:sz w:val="20"/>
                <w:sz w:val="20"/>
                <w:szCs w:val="20"/>
                <w:u w:val="none"/>
                <w:vertAlign w:val="baseline"/>
              </w:rPr>
              <w:br/>
            </w:r>
          </w:p>
          <w:p>
            <w:pPr>
              <w:pStyle w:val="Normal"/>
              <w:keepNext w:val="false"/>
              <w:keepLines w:val="false"/>
              <w:widowControl/>
              <w:shd w:val="clear" w:fill="FFFF00"/>
              <w:spacing w:lineRule="auto" w:line="240" w:before="57"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pPr>
        <w:pStyle w:val="Normal"/>
        <w:shd w:val="clear" w:fill="FFFFFF"/>
        <w:spacing w:lineRule="auto" w:line="240" w:before="57" w:after="57"/>
        <w:rPr>
          <w:rFonts w:ascii="Arial" w:hAnsi="Arial"/>
          <w:b w:val="false"/>
          <w:i w:val="false"/>
          <w:i w:val="false"/>
          <w:caps w:val="false"/>
          <w:smallCaps w:val="false"/>
          <w:strike w:val="false"/>
          <w:dstrike w:val="false"/>
          <w:position w:val="0"/>
          <w:sz w:val="20"/>
          <w:sz w:val="20"/>
          <w:szCs w:val="20"/>
          <w:vertAlign w:val="baseline"/>
        </w:rPr>
      </w:pPr>
      <w:r>
        <w:rPr>
          <w:rFonts w:ascii="Arial" w:hAnsi="Arial"/>
          <w:b/>
          <w:bCs/>
          <w:i w:val="false"/>
          <w:caps w:val="false"/>
          <w:smallCaps w:val="false"/>
          <w:strike w:val="false"/>
          <w:dstrike w:val="false"/>
          <w:position w:val="0"/>
          <w:sz w:val="20"/>
          <w:sz w:val="20"/>
          <w:szCs w:val="20"/>
          <w:vertAlign w:val="baseline"/>
        </w:rPr>
        <w:t>13.1</w:t>
      </w:r>
      <w:r>
        <w:rPr>
          <w:rFonts w:ascii="Arial" w:hAnsi="Arial"/>
          <w:b w:val="false"/>
          <w:i w:val="false"/>
          <w:caps w:val="false"/>
          <w:smallCaps w:val="false"/>
          <w:strike w:val="false"/>
          <w:dstrike w:val="false"/>
          <w:position w:val="0"/>
          <w:sz w:val="20"/>
          <w:sz w:val="20"/>
          <w:szCs w:val="20"/>
          <w:vertAlign w:val="baseline"/>
        </w:rPr>
        <w:t xml:space="preserve"> Não será admitida a subcontratação do objeto licitatório.</w:t>
      </w:r>
    </w:p>
    <w:p>
      <w:pPr>
        <w:pStyle w:val="Normal"/>
        <w:shd w:val="clear" w:fill="FFFFFF"/>
        <w:tabs>
          <w:tab w:val="clear" w:pos="720"/>
          <w:tab w:val="left" w:pos="0" w:leader="none"/>
        </w:tabs>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
        <w:shd w:val="clear" w:fill="FFFFFF"/>
        <w:tabs>
          <w:tab w:val="clear" w:pos="720"/>
          <w:tab w:val="left" w:pos="425"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OU</w:t>
      </w:r>
    </w:p>
    <w:p>
      <w:pPr>
        <w:pStyle w:val="Normal1"/>
        <w:shd w:val="clear" w:fill="FFFFFF"/>
        <w:tabs>
          <w:tab w:val="clear" w:pos="720"/>
          <w:tab w:val="left" w:pos="425" w:leader="none"/>
        </w:tabs>
        <w:spacing w:lineRule="auto" w:line="240" w:before="57" w:after="57"/>
        <w:jc w:val="both"/>
        <w:rPr>
          <w:rFonts w:eastAsia="Arial" w:cs="Arial"/>
          <w:b/>
          <w:i w:val="false"/>
          <w:i w:val="false"/>
          <w:caps w:val="false"/>
          <w:smallCaps w:val="false"/>
          <w:strike w:val="false"/>
          <w:dstrike w:val="false"/>
          <w:color w:val="000000"/>
          <w:position w:val="0"/>
          <w:sz w:val="22"/>
          <w:sz w:val="22"/>
          <w:u w:val="none"/>
          <w:vertAlign w:val="baseline"/>
        </w:rPr>
      </w:pPr>
      <w:r>
        <w:rPr>
          <w:rFonts w:eastAsia="Arial" w:cs="Arial"/>
          <w:b/>
          <w:i w:val="false"/>
          <w:caps w:val="false"/>
          <w:smallCaps w:val="false"/>
          <w:strike w:val="false"/>
          <w:dstrike w:val="false"/>
          <w:color w:val="000000"/>
          <w:position w:val="0"/>
          <w:sz w:val="22"/>
          <w:sz w:val="22"/>
          <w:u w:val="none"/>
          <w:vertAlign w:val="baseline"/>
        </w:rPr>
      </w:r>
    </w:p>
    <w:p>
      <w:pPr>
        <w:pStyle w:val="Normal"/>
        <w:shd w:val="clear" w:fill="FFFFFF"/>
        <w:tabs>
          <w:tab w:val="clear" w:pos="720"/>
          <w:tab w:val="left" w:pos="425" w:leader="none"/>
        </w:tabs>
        <w:spacing w:lineRule="auto" w:line="240" w:before="57" w:after="57"/>
        <w:jc w:val="both"/>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É permitida a subcontratação parcial do objeto, nos limites definidos no termo contratual. </w:t>
      </w:r>
    </w:p>
    <w:p>
      <w:pPr>
        <w:pStyle w:val="Normal"/>
        <w:shd w:val="clear" w:fill="FFFFFF"/>
        <w:spacing w:lineRule="auto" w:line="240" w:before="57" w:after="57"/>
        <w:jc w:val="both"/>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13.1.1</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é vedada a subcontratação de microempresas e empresas de pequeno porte e microempreendedor individual que tenham participado da licitação;</w:t>
      </w:r>
    </w:p>
    <w:p>
      <w:pPr>
        <w:pStyle w:val="Normal"/>
        <w:shd w:val="clear" w:fill="FFFFFF"/>
        <w:spacing w:lineRule="auto" w:line="240" w:before="57" w:after="57"/>
        <w:jc w:val="both"/>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13.1.2</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A subcontratação depende de autorização prévia do contratante, a quem incumbe avaliar se a subcontratada cumpre os requisitos de qualificação técnica necessários para a execução do objeto.</w:t>
      </w:r>
    </w:p>
    <w:p>
      <w:pPr>
        <w:pStyle w:val="Normal"/>
        <w:shd w:val="clear" w:fill="FFFFFF"/>
        <w:spacing w:lineRule="auto" w:line="240" w:before="57" w:after="57"/>
        <w:jc w:val="both"/>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13.1.3</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pPr>
        <w:pStyle w:val="Normal"/>
        <w:shd w:val="clear" w:fill="FFFFFF"/>
        <w:spacing w:lineRule="auto" w:line="240" w:before="57" w:after="57"/>
        <w:jc w:val="both"/>
        <w:rPr>
          <w:highlight w:val="none"/>
          <w:shd w:fill="auto" w:val="clear"/>
        </w:rPr>
      </w:pPr>
      <w:r>
        <w:rPr>
          <w:rFonts w:eastAsia="Arial" w:cs="Arial" w:ascii="Arial" w:hAnsi="Arial"/>
          <w:b/>
          <w:i w:val="false"/>
          <w:caps w:val="false"/>
          <w:smallCaps w:val="false"/>
          <w:strike w:val="false"/>
          <w:dstrike w:val="false"/>
          <w:color w:val="000000"/>
          <w:position w:val="0"/>
          <w:sz w:val="20"/>
          <w:sz w:val="20"/>
          <w:szCs w:val="20"/>
          <w:shd w:fill="auto" w:val="clear"/>
          <w:vertAlign w:val="baseline"/>
        </w:rPr>
        <w:t>13.1.4</w:t>
      </w:r>
      <w:r>
        <w:rPr>
          <w:rFonts w:eastAsia="Arial" w:cs="Arial" w:ascii="Arial" w:hAnsi="Arial"/>
          <w:b w:val="false"/>
          <w:i w:val="false"/>
          <w:caps w:val="false"/>
          <w:smallCaps w:val="false"/>
          <w:strike w:val="false"/>
          <w:dstrike w:val="false"/>
          <w:color w:val="000000"/>
          <w:position w:val="0"/>
          <w:sz w:val="20"/>
          <w:sz w:val="20"/>
          <w:szCs w:val="20"/>
          <w:shd w:fill="auto" w:val="clear"/>
          <w:vertAlign w:val="baseline"/>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pPr>
        <w:pStyle w:val="Normal1"/>
        <w:shd w:val="clear" w:fill="FFFFFF"/>
        <w:spacing w:lineRule="auto" w:line="240" w:before="57" w:after="57"/>
        <w:jc w:val="both"/>
        <w:rPr>
          <w:highlight w:val="none"/>
          <w:shd w:fill="auto" w:val="clear"/>
        </w:rPr>
      </w:pPr>
      <w:r>
        <w:rPr>
          <w:rFonts w:eastAsia="Arial" w:cs="Arial" w:ascii="Arial" w:hAnsi="Arial"/>
          <w:b/>
          <w:bCs/>
          <w:i w:val="false"/>
          <w:caps w:val="false"/>
          <w:smallCaps w:val="false"/>
          <w:strike w:val="false"/>
          <w:dstrike w:val="false"/>
          <w:color w:val="000000"/>
          <w:position w:val="0"/>
          <w:sz w:val="20"/>
          <w:sz w:val="20"/>
          <w:szCs w:val="20"/>
          <w:shd w:fill="auto" w:val="clear"/>
          <w:vertAlign w:val="baseline"/>
        </w:rPr>
        <w:t>13.1.5</w:t>
      </w:r>
      <w:r>
        <w:rPr>
          <w:rFonts w:eastAsia="Arial" w:cs="Arial" w:ascii="Arial" w:hAnsi="Arial"/>
          <w:b w:val="false"/>
          <w:bCs w:val="false"/>
          <w:i w:val="false"/>
          <w:caps w:val="false"/>
          <w:smallCaps w:val="false"/>
          <w:strike w:val="false"/>
          <w:dstrike w:val="false"/>
          <w:color w:val="000000"/>
          <w:position w:val="0"/>
          <w:sz w:val="20"/>
          <w:sz w:val="20"/>
          <w:szCs w:val="20"/>
          <w:shd w:fill="auto" w:val="clear"/>
          <w:vertAlign w:val="baseline"/>
        </w:rPr>
        <w:t xml:space="preserve"> é vedada a subcontratação das parcelas de maior relevância e valor significativo, assim definidas no instrumento convocatório. </w:t>
      </w:r>
    </w:p>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W w:w="9075" w:type="dxa"/>
        <w:jc w:val="left"/>
        <w:tblInd w:w="52" w:type="dxa"/>
        <w:tblLayout w:type="fixed"/>
        <w:tblCellMar>
          <w:top w:w="0" w:type="dxa"/>
          <w:left w:w="108" w:type="dxa"/>
          <w:bottom w:w="0" w:type="dxa"/>
          <w:right w:w="108" w:type="dxa"/>
        </w:tblCellMar>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position w:val="0"/>
                <w:sz w:val="20"/>
                <w:sz w:val="20"/>
                <w:szCs w:val="20"/>
                <w:vertAlign w:val="baseline"/>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
              <w:shd w:val="clear" w:fill="FFFF00"/>
              <w:spacing w:lineRule="auto" w:line="240" w:before="57" w:after="57"/>
              <w:jc w:val="both"/>
              <w:rPr>
                <w:rFonts w:ascii="Arial" w:hAnsi="Arial" w:eastAsia="Arial" w:cs="Arial"/>
                <w:b/>
                <w:i w:val="false"/>
                <w:i w:val="false"/>
                <w:caps w:val="false"/>
                <w:smallCaps w:val="false"/>
                <w:strike w:val="false"/>
                <w:dstrike w:val="false"/>
                <w:color w:val="000000"/>
                <w:position w:val="0"/>
                <w:sz w:val="20"/>
                <w:sz w:val="20"/>
                <w:szCs w:val="20"/>
                <w:shd w:fill="FFFF00" w:val="clear"/>
                <w:vertAlign w:val="baseline"/>
              </w:rPr>
            </w:pPr>
            <w:r>
              <w:rPr>
                <w:rFonts w:eastAsia="Arial" w:cs="Arial" w:ascii="Arial" w:hAnsi="Arial"/>
                <w:b/>
                <w:i w:val="false"/>
                <w:caps w:val="false"/>
                <w:smallCaps w:val="false"/>
                <w:strike w:val="false"/>
                <w:dstrike w:val="false"/>
                <w:color w:val="000000"/>
                <w:position w:val="0"/>
                <w:sz w:val="20"/>
                <w:sz w:val="20"/>
                <w:szCs w:val="20"/>
                <w:shd w:fill="FFFF00" w:val="clear"/>
                <w:vertAlign w:val="baseline"/>
              </w:rPr>
              <w:t>(Obs. As notas explicativas são meramente orientativas. Portanto, devem ser excluídas do edital a ser publicado)</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A subcontratação parcial é permitida e deverá ser analisada pela Administração com base nas informações contidas no estudo técnico preliminar, em cada caso concreto. Caso admitida, o edital deve estabelecer, com detalhamento, seus limites e condições, inclusive especificando quais parcelas do objeto poderão ser subcontratadas.</w:t>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r>
          </w:p>
          <w:p>
            <w:pPr>
              <w:pStyle w:val="Normal"/>
              <w:shd w:val="clear" w:fill="FFFF00"/>
              <w:spacing w:lineRule="auto" w:line="240" w:before="57" w:after="57"/>
              <w:jc w:val="both"/>
              <w:rPr>
                <w:rFonts w:ascii="Arial" w:hAnsi="Arial" w:eastAsia="Arial" w:cs="Arial"/>
                <w:b w:val="false"/>
                <w:i w:val="false"/>
                <w:i w:val="false"/>
                <w:caps w:val="false"/>
                <w:smallCaps w:val="false"/>
                <w:strike w:val="false"/>
                <w:dstrike w:val="false"/>
                <w:color w:val="000000"/>
                <w:position w:val="0"/>
                <w:sz w:val="20"/>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É importante verificar que são vedadas (i) a subcontratação integral (ii) a exigência no instrumento convocatório de subcontratação de itens ou parcelas determinadas ou de empresas específicas; </w:t>
            </w:r>
            <w:r>
              <w:rPr>
                <w:rFonts w:eastAsia="Arial" w:cs="Arial" w:ascii="Arial" w:hAnsi="Arial"/>
                <w:b w:val="false"/>
                <w:i w:val="false"/>
                <w:caps w:val="false"/>
                <w:smallCaps w:val="false"/>
                <w:strike w:val="false"/>
                <w:dstrike w:val="false"/>
                <w:color w:val="000000"/>
                <w:position w:val="0"/>
                <w:sz w:val="20"/>
                <w:sz w:val="20"/>
                <w:szCs w:val="20"/>
                <w:shd w:fill="FFFF00" w:val="clear"/>
                <w:vertAlign w:val="baseline"/>
              </w:rPr>
              <w:t>(iii) a prova de capacidade técnica das subcontratadas em relação a parcelas do objeto que não são passíveis de qualificação técnica</w:t>
            </w:r>
            <w:r>
              <w:rPr>
                <w:rFonts w:eastAsia="Arial" w:cs="Arial" w:ascii="Arial" w:hAnsi="Arial"/>
                <w:b w:val="false"/>
                <w:i w:val="false"/>
                <w:caps w:val="false"/>
                <w:smallCaps w:val="false"/>
                <w:strike w:val="false"/>
                <w:dstrike w:val="false"/>
                <w:color w:val="000000"/>
                <w:position w:val="0"/>
                <w:sz w:val="20"/>
                <w:sz w:val="20"/>
                <w:szCs w:val="20"/>
                <w:vertAlign w:val="baseline"/>
              </w:rPr>
              <w:t>;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fill="FFFF00"/>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c>
      </w:tr>
    </w:tbl>
    <w:p>
      <w:pPr>
        <w:pStyle w:val="Normal"/>
        <w:shd w:val="clear" w:fill="FFFFFF"/>
        <w:spacing w:lineRule="auto" w:line="240" w:before="57"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 ALTERAÇÃO SUBJETIVA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14.1 </w:t>
      </w:r>
      <w:r>
        <w:rPr>
          <w:rFonts w:eastAsia="Arial" w:cs="Arial" w:ascii="Arial" w:hAnsi="Arial"/>
          <w:b w:val="false"/>
          <w:i w:val="false"/>
          <w:caps w:val="false"/>
          <w:smallCaps w:val="false"/>
          <w:strike w:val="false"/>
          <w:dstrike w:val="false"/>
          <w:color w:val="000000"/>
          <w:position w:val="0"/>
          <w:sz w:val="20"/>
          <w:sz w:val="20"/>
          <w:szCs w:val="20"/>
          <w:vertAlign w:val="baseline"/>
        </w:rPr>
        <w:t>É admissível a continuidade do Contrato administrativo quando houver fusão, cisão ou incorporação do Contratado com outra pessoa jurídica, desde que:</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sejam observados pela nova pessoa jurídica todos os requisitos de habilitação exigidos na licitação original;</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sejam mantidas as demais cláusulas e condições do Contrato; e</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 não haja prejuízo à execução do objeto pactuado e haja anuência expressa da Administração à continuidade do Contrato.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w:t>
      </w:r>
      <w:r>
        <w:rPr>
          <w:rFonts w:eastAsia="Arial" w:cs="Arial" w:ascii="Arial" w:hAnsi="Arial"/>
          <w:b/>
          <w:i w:val="false"/>
          <w:caps w:val="false"/>
          <w:smallCaps w:val="false"/>
          <w:strike w:val="false"/>
          <w:dstrike w:val="false"/>
          <w:position w:val="0"/>
          <w:sz w:val="20"/>
          <w:sz w:val="20"/>
          <w:szCs w:val="20"/>
          <w:vertAlign w:val="baseline"/>
        </w:rPr>
        <w:t xml:space="preserve">.2 </w:t>
      </w:r>
      <w:r>
        <w:rPr>
          <w:rFonts w:eastAsia="Arial" w:cs="Arial" w:ascii="Arial" w:hAnsi="Arial"/>
          <w:b w:val="false"/>
          <w:i w:val="false"/>
          <w:caps w:val="false"/>
          <w:smallCaps w:val="false"/>
          <w:strike w:val="false"/>
          <w:dstrike w:val="false"/>
          <w:position w:val="0"/>
          <w:sz w:val="20"/>
          <w:sz w:val="20"/>
          <w:szCs w:val="20"/>
          <w:vertAlign w:val="baseline"/>
        </w:rPr>
        <w:t xml:space="preserve">A alteração subjetiva a que se refere o item </w:t>
      </w:r>
      <w:r>
        <w:rPr>
          <w:rFonts w:eastAsia="Arial" w:cs="Arial" w:ascii="Arial" w:hAnsi="Arial"/>
          <w:b w:val="false"/>
          <w:i w:val="false"/>
          <w:caps w:val="false"/>
          <w:smallCaps w:val="false"/>
          <w:strike w:val="false"/>
          <w:dstrike w:val="false"/>
          <w:color w:val="000000"/>
          <w:position w:val="0"/>
          <w:sz w:val="20"/>
          <w:sz w:val="20"/>
          <w:szCs w:val="20"/>
          <w:vertAlign w:val="baseline"/>
        </w:rPr>
        <w:t>14</w:t>
      </w:r>
      <w:r>
        <w:rPr>
          <w:rFonts w:eastAsia="Arial" w:cs="Arial" w:ascii="Arial" w:hAnsi="Arial"/>
          <w:b w:val="false"/>
          <w:i w:val="false"/>
          <w:caps w:val="false"/>
          <w:smallCaps w:val="false"/>
          <w:strike w:val="false"/>
          <w:dstrike w:val="false"/>
          <w:position w:val="0"/>
          <w:sz w:val="20"/>
          <w:sz w:val="20"/>
          <w:szCs w:val="20"/>
          <w:vertAlign w:val="baseline"/>
        </w:rPr>
        <w:t>.1 deverá ser formalizada por Termo Aditivo ao Contrato.</w:t>
      </w:r>
    </w:p>
    <w:p>
      <w:pPr>
        <w:pStyle w:val="Normal1"/>
        <w:shd w:val="clear" w:fill="FFFFFF"/>
        <w:spacing w:lineRule="auto" w:line="240" w:before="57" w:after="57"/>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 SANÇÕES ADMINISTRATIVAS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15.1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O licitante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2 </w:t>
      </w:r>
      <w:r>
        <w:rPr>
          <w:rFonts w:eastAsia="Arial" w:cs="Arial" w:ascii="Arial" w:hAnsi="Arial"/>
          <w:b w:val="false"/>
          <w:i w:val="false"/>
          <w:caps w:val="false"/>
          <w:smallCaps w:val="false"/>
          <w:strike w:val="false"/>
          <w:dstrike w:val="false"/>
          <w:color w:val="000000"/>
          <w:position w:val="0"/>
          <w:sz w:val="20"/>
          <w:sz w:val="20"/>
          <w:szCs w:val="20"/>
          <w:vertAlign w:val="baseline"/>
        </w:rPr>
        <w:t>A multa de 0,5% (cinco décimos por cento) até 30% (trinta por cento) sobre o valor total do lote no qual participou, será aplicada a quem:</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retardar ou impedir o andamento do procedimento licitatório;</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b) não mantiver sua proposta;</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 apresentar declaração falsa;</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d) deixar de apresentar documento na fase de saneamento.</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 apresentar documento falso;</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f) de forma injustificada, deixar de assinar o contrato ou instrumento equivalente;</w:t>
      </w:r>
    </w:p>
    <w:p>
      <w:pPr>
        <w:pStyle w:val="Normal1"/>
        <w:shd w:val="clear" w:fill="FFFFFF"/>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g) foi advertido e reincidiu pelo(s) mesmo(s) motivo(s).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procedimento para aplicação das sanções seguirá o disposto no Capítulo XVI, do Título I, do Decreto n.º 10.086, de 2022.</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.4 </w:t>
      </w:r>
      <w:r>
        <w:rPr>
          <w:rFonts w:eastAsia="Arial" w:cs="Arial" w:ascii="Arial" w:hAnsi="Arial"/>
          <w:b w:val="false"/>
          <w:i w:val="false"/>
          <w:caps w:val="false"/>
          <w:smallCaps w:val="false"/>
          <w:strike w:val="false"/>
          <w:dstrike w:val="false"/>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.5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regulamentada, no âmbito do Estado do Paraná, pelo Decreto n.º 11.953, de 2018.</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.6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keepNext w:val="false"/>
        <w:keepLines w:val="false"/>
        <w:pageBreakBefore w:val="false"/>
        <w:widowControl/>
        <w:shd w:val="clear" w:fill="FFFFFF"/>
        <w:spacing w:lineRule="auto" w:line="240" w:before="57" w:after="57"/>
        <w:ind w:hanging="0" w:left="36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pPr>
        <w:pStyle w:val="Normal1"/>
        <w:keepNext w:val="false"/>
        <w:keepLines w:val="false"/>
        <w:pageBreakBefore w:val="false"/>
        <w:widowControl/>
        <w:shd w:val="clear" w:fill="FFFFFF"/>
        <w:tabs>
          <w:tab w:val="clear" w:pos="720"/>
          <w:tab w:val="left" w:pos="558" w:leader="none"/>
        </w:tabs>
        <w:spacing w:lineRule="auto" w:line="240" w:before="57" w:after="57"/>
        <w:ind w:hanging="0" w:left="36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15.7.1.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15.8</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Multa de mora diária de até 0,3% (três décimos por cento), calculada sobre o valor global do contrato ou da parcela em at</w:t>
      </w:r>
      <w:r>
        <w:rPr>
          <w:rFonts w:eastAsia="Arial" w:cs="Arial" w:ascii="Arial" w:hAnsi="Arial"/>
          <w:b w:val="false"/>
          <w:i w:val="false"/>
          <w:caps w:val="false"/>
          <w:smallCaps w:val="false"/>
          <w:strike w:val="false"/>
          <w:dstrike w:val="false"/>
          <w:color w:val="000000"/>
          <w:position w:val="0"/>
          <w:sz w:val="20"/>
          <w:sz w:val="20"/>
          <w:szCs w:val="20"/>
          <w:vertAlign w:val="baseline"/>
        </w:rPr>
        <w:t>raso, até o 30º (trigésimo) dia de atraso na entrega; a partir do 31º (trigésimo primeiro) dia, a multa de mora será convertida em compensatória, aplicando-se, no mais, o disposto nos itens acima.</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.9 </w:t>
      </w:r>
      <w:r>
        <w:rPr>
          <w:rFonts w:eastAsia="Arial" w:cs="Arial" w:ascii="Arial" w:hAnsi="Arial"/>
          <w:b w:val="false"/>
          <w:i w:val="false"/>
          <w:caps w:val="false"/>
          <w:smallCaps w:val="false"/>
          <w:strike w:val="false"/>
          <w:dstrike w:val="false"/>
          <w:color w:val="000000"/>
          <w:position w:val="0"/>
          <w:sz w:val="20"/>
          <w:sz w:val="20"/>
          <w:szCs w:val="20"/>
          <w:vertAlign w:val="baseline"/>
        </w:rPr>
        <w:t>O procedimento para aplicação das sanções seguirá o disposto no Capítulo XVI, do Título I, do Decreto n.º 10.086, de 2022. e na Lei n.º 20.656, de 2021.</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.10 </w:t>
      </w:r>
      <w:r>
        <w:rPr>
          <w:rFonts w:eastAsia="Arial" w:cs="Arial" w:ascii="Arial" w:hAnsi="Arial"/>
          <w:b w:val="false"/>
          <w:i w:val="false"/>
          <w:caps w:val="false"/>
          <w:smallCaps w:val="false"/>
          <w:strike w:val="false"/>
          <w:dstrike w:val="false"/>
          <w:color w:val="000000"/>
          <w:position w:val="0"/>
          <w:sz w:val="20"/>
          <w:sz w:val="20"/>
          <w:szCs w:val="20"/>
          <w:vertAlign w:val="baseline"/>
        </w:rPr>
        <w:t>Nos casos não previstos no instrumento convocatório, inclusive sobre o procedimento de aplicação das sanções administrativas, deverão ser observadas as disposições da Lei Federal n.º 14.133, de 2021 e no Decreto n.º 10.086, de 2022.</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vertAlign w:val="baseline"/>
        </w:rPr>
        <w:t>Sem prejuízo das sanções previstas nos itens anteriores, a</w:t>
      </w:r>
      <w:r>
        <w:rPr>
          <w:rFonts w:eastAsia="Arial" w:cs="Arial" w:ascii="Arial" w:hAnsi="Arial"/>
          <w:b/>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w:t>
      </w:r>
      <w:r>
        <w:rPr>
          <w:rFonts w:eastAsia="Arial" w:cs="Arial" w:ascii="Arial" w:hAnsi="Arial"/>
          <w:b/>
          <w:i w:val="false"/>
          <w:caps w:val="false"/>
          <w:smallCaps w:val="false"/>
          <w:strike w:val="false"/>
          <w:dstrike w:val="false"/>
          <w:color w:val="000000"/>
          <w:position w:val="0"/>
          <w:sz w:val="20"/>
          <w:sz w:val="20"/>
          <w:szCs w:val="20"/>
          <w:vertAlign w:val="baseline"/>
        </w:rPr>
        <w:t xml:space="preserve">.12 </w:t>
      </w:r>
      <w:r>
        <w:rPr>
          <w:rFonts w:eastAsia="Arial" w:cs="Arial" w:ascii="Arial" w:hAnsi="Arial"/>
          <w:b w:val="false"/>
          <w:i w:val="false"/>
          <w:caps w:val="false"/>
          <w:smallCaps w:val="false"/>
          <w:strike w:val="false"/>
          <w:dstrike w:val="false"/>
          <w:color w:val="000000"/>
          <w:position w:val="0"/>
          <w:sz w:val="20"/>
          <w:sz w:val="20"/>
          <w:szCs w:val="20"/>
          <w:vertAlign w:val="baseline"/>
        </w:rPr>
        <w:t>Quaisquer penalidades aplicadas serão transcritas no Portal Nacional de Contratações Públicas (PNCP) e no Cadastro Unificado de Fornecedores do Estado do Paraná (CFPR).</w:t>
      </w:r>
    </w:p>
    <w:p>
      <w:pPr>
        <w:pStyle w:val="Normal1"/>
        <w:shd w:val="clear" w:fill="FFFFFF"/>
        <w:tabs>
          <w:tab w:val="clear" w:pos="720"/>
          <w:tab w:val="left" w:pos="558"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15.13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As multas previstas neste edital poderão ser descontadas do pagamento eventualmente devido pelo contratante decorrente de outros contratos firmados com a Administração Pública estadual.</w:t>
      </w:r>
    </w:p>
    <w:p>
      <w:pPr>
        <w:pStyle w:val="Normal1"/>
        <w:shd w:val="clear" w:fill="FFFFFF"/>
        <w:tabs>
          <w:tab w:val="clear" w:pos="720"/>
          <w:tab w:val="left" w:pos="558" w:leader="none"/>
        </w:tabs>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16 </w:t>
      </w:r>
      <w:r>
        <w:rPr>
          <w:rFonts w:eastAsia="Arial" w:cs="Arial" w:ascii="Arial" w:hAnsi="Arial"/>
          <w:b/>
          <w:i w:val="false"/>
          <w:caps w:val="false"/>
          <w:smallCaps w:val="false"/>
          <w:strike w:val="false"/>
          <w:dstrike w:val="false"/>
          <w:color w:val="000000"/>
          <w:position w:val="0"/>
          <w:sz w:val="20"/>
          <w:sz w:val="20"/>
          <w:szCs w:val="20"/>
          <w:vertAlign w:val="baseline"/>
        </w:rPr>
        <w:t>DISPOSIÇÕES GERAIS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16.1 </w:t>
      </w:r>
      <w:r>
        <w:rPr>
          <w:rFonts w:eastAsia="Arial" w:cs="Arial" w:ascii="Arial" w:hAnsi="Arial"/>
          <w:b w:val="false"/>
          <w:i w:val="false"/>
          <w:caps w:val="false"/>
          <w:smallCaps w:val="false"/>
          <w:strike w:val="false"/>
          <w:dstrike w:val="false"/>
          <w:color w:val="000000"/>
          <w:position w:val="0"/>
          <w:sz w:val="20"/>
          <w:sz w:val="20"/>
          <w:szCs w:val="20"/>
          <w:vertAlign w:val="baseline"/>
        </w:rPr>
        <w:t>Todas as referências de tempo deste edital correspondem ao horário de Brasília-DF.</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16.2 </w:t>
      </w:r>
      <w:r>
        <w:rPr>
          <w:rFonts w:eastAsia="Arial" w:cs="Arial" w:ascii="Arial" w:hAnsi="Arial"/>
          <w:b w:val="false"/>
          <w:i w:val="false"/>
          <w:caps w:val="false"/>
          <w:smallCaps w:val="false"/>
          <w:strike w:val="false"/>
          <w:dstrike w:val="false"/>
          <w:color w:val="000000"/>
          <w:position w:val="0"/>
          <w:sz w:val="20"/>
          <w:sz w:val="20"/>
          <w:szCs w:val="20"/>
          <w:vertAlign w:val="baseline"/>
        </w:rPr>
        <w:t>Ocorrendo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16.3 </w:t>
      </w:r>
      <w:r>
        <w:rPr>
          <w:rFonts w:eastAsia="Arial" w:cs="Arial" w:ascii="Arial" w:hAnsi="Arial"/>
          <w:b w:val="false"/>
          <w:i w:val="false"/>
          <w:caps w:val="false"/>
          <w:smallCaps w:val="false"/>
          <w:strike w:val="false"/>
          <w:dstrike w:val="false"/>
          <w:color w:val="000000"/>
          <w:position w:val="0"/>
          <w:sz w:val="20"/>
          <w:sz w:val="20"/>
          <w:szCs w:val="20"/>
          <w:vertAlign w:val="baseline"/>
        </w:rPr>
        <w:t>É facultado ao(a) pregoeiro(a) a promoção de diligência destinada a esclarecer ou a complementar a instrução do processo.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16.4 </w:t>
      </w:r>
      <w:r>
        <w:rPr>
          <w:rFonts w:eastAsia="Arial" w:cs="Arial" w:ascii="Arial" w:hAnsi="Arial"/>
          <w:b w:val="false"/>
          <w:i w:val="false"/>
          <w:caps w:val="false"/>
          <w:smallCaps w:val="false"/>
          <w:strike w:val="false"/>
          <w:dstrike w:val="false"/>
          <w:color w:val="000000"/>
          <w:position w:val="0"/>
          <w:sz w:val="20"/>
          <w:sz w:val="20"/>
          <w:szCs w:val="20"/>
          <w:vertAlign w:val="baseline"/>
        </w:rPr>
        <w:t>O licitante é responsável pelo ônus decorrente da perda de negócios, resultante da inobservância de quaisquer mensagens emitidas pelo(a) pregoeiro(a) ou pelo sistema, ainda que ocorra a sua desconexão.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16.5 </w:t>
      </w:r>
      <w:r>
        <w:rPr>
          <w:rFonts w:eastAsia="Arial" w:cs="Arial" w:ascii="Arial" w:hAnsi="Arial"/>
          <w:b w:val="false"/>
          <w:i w:val="false"/>
          <w:caps w:val="false"/>
          <w:smallCaps w:val="false"/>
          <w:strike w:val="false"/>
          <w:dstrike w:val="false"/>
          <w:color w:val="000000"/>
          <w:position w:val="0"/>
          <w:sz w:val="20"/>
          <w:sz w:val="20"/>
          <w:szCs w:val="20"/>
          <w:vertAlign w:val="baseline"/>
        </w:rPr>
        <w:t>A não apresentação de qualquer documento ou a apresentação com prazo de validade expirado implicará desclassificação ou inabilitação do licitante.</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16.6 </w:t>
      </w:r>
      <w:r>
        <w:rPr>
          <w:rFonts w:eastAsia="Arial" w:cs="Arial" w:ascii="Arial" w:hAnsi="Arial"/>
          <w:b w:val="false"/>
          <w:i w:val="false"/>
          <w:caps w:val="false"/>
          <w:smallCaps w:val="false"/>
          <w:strike w:val="false"/>
          <w:dstrike w:val="false"/>
          <w:color w:val="000000"/>
          <w:position w:val="0"/>
          <w:sz w:val="20"/>
          <w:sz w:val="20"/>
          <w:szCs w:val="20"/>
          <w:vertAlign w:val="baseline"/>
        </w:rPr>
        <w:t>Os documentos que não mencionarem o prazo de validade serão considerados válidos por 90 (noventa) dias da data da emissão, salvo disposição contrária de Lei a respeito.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16.7 </w:t>
      </w:r>
      <w:r>
        <w:rPr>
          <w:rFonts w:eastAsia="Arial" w:cs="Arial" w:ascii="Arial" w:hAnsi="Arial"/>
          <w:b w:val="false"/>
          <w:i w:val="false"/>
          <w:caps w:val="false"/>
          <w:smallCaps w:val="false"/>
          <w:strike w:val="false"/>
          <w:dstrike w:val="false"/>
          <w:color w:val="000000"/>
          <w:position w:val="0"/>
          <w:sz w:val="20"/>
          <w:sz w:val="20"/>
          <w:szCs w:val="20"/>
          <w:vertAlign w:val="baseline"/>
        </w:rPr>
        <w:t>Os licitantes encaminharão os documentos exigidos nesta licitação exclusivamente por meio do sistema de que trata o item 4 das Condições Gerais do Pregão. O(a) pregoeiro(a), se julgar necessário, verificará a autenticidade e a veracidade do documento.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16.8 </w:t>
      </w:r>
      <w:r>
        <w:rPr>
          <w:rFonts w:eastAsia="Arial" w:cs="Arial" w:ascii="Arial" w:hAnsi="Arial"/>
          <w:b w:val="false"/>
          <w:i w:val="false"/>
          <w:caps w:val="false"/>
          <w:smallCaps w:val="false"/>
          <w:strike w:val="false"/>
          <w:dstrike w:val="false"/>
          <w:color w:val="000000"/>
          <w:position w:val="0"/>
          <w:sz w:val="20"/>
          <w:sz w:val="20"/>
          <w:szCs w:val="20"/>
          <w:vertAlign w:val="baseline"/>
        </w:rPr>
        <w:t>O(a) pregoeiro(a) poderá, no interesse público, relevar faltas meramente formais que não comprometam a lisura e o real conteúdo da proposta, podendo promover diligências destinadas a esclarecer ou complementar a instrução do procedimento licitatório, inclusive solicitar pareceres.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16.9 </w:t>
      </w:r>
      <w:r>
        <w:rPr>
          <w:rFonts w:eastAsia="Arial" w:cs="Arial" w:ascii="Arial" w:hAnsi="Arial"/>
          <w:b w:val="false"/>
          <w:i w:val="false"/>
          <w:caps w:val="false"/>
          <w:smallCaps w:val="false"/>
          <w:strike w:val="false"/>
          <w:dstrike w:val="false"/>
          <w:color w:val="000000"/>
          <w:position w:val="0"/>
          <w:sz w:val="20"/>
          <w:sz w:val="20"/>
          <w:szCs w:val="20"/>
          <w:vertAlign w:val="baseline"/>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pPr>
        <w:pStyle w:val="Normal1"/>
        <w:shd w:val="clear" w:fill="FFFFFF"/>
        <w:tabs>
          <w:tab w:val="clear" w:pos="720"/>
          <w:tab w:val="left" w:pos="293"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16.10 </w:t>
      </w:r>
      <w:r>
        <w:rPr>
          <w:rFonts w:eastAsia="Arial" w:cs="Arial" w:ascii="Arial" w:hAnsi="Arial"/>
          <w:b w:val="false"/>
          <w:i w:val="false"/>
          <w:caps w:val="false"/>
          <w:smallCaps w:val="false"/>
          <w:strike w:val="false"/>
          <w:dstrike w:val="false"/>
          <w:color w:val="000000"/>
          <w:position w:val="0"/>
          <w:sz w:val="20"/>
          <w:sz w:val="20"/>
          <w:szCs w:val="20"/>
          <w:vertAlign w:val="baseline"/>
        </w:rPr>
        <w:t>O foro é o da Comarca da Região Metropolitana de Curitiba – Foro Central de Curitiba, no qual serão dirimidas todas as questões não resolvidas na esfera administrativa.</w:t>
      </w:r>
    </w:p>
    <w:p>
      <w:pPr>
        <w:pStyle w:val="Normal1"/>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O servidor que subscreve este edital e seus anexos atesta que observou integralmente a Minuta Padronizada aprovada pelo Procurador-Geral do Estado do Paraná.</w:t>
      </w:r>
    </w:p>
    <w:p>
      <w:pPr>
        <w:pStyle w:val="Normal1"/>
        <w:shd w:val="clear" w:fill="FFFFFF"/>
        <w:spacing w:lineRule="auto" w:line="240" w:before="57" w:after="57"/>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Curitiba,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 de XXXXXX de 20XX</w:t>
      </w:r>
      <w:r>
        <w:rPr>
          <w:rFonts w:eastAsia="Arial" w:cs="Arial" w:ascii="Arial" w:hAnsi="Arial"/>
          <w:b w:val="false"/>
          <w:i w:val="false"/>
          <w:caps w:val="false"/>
          <w:smallCaps w:val="false"/>
          <w:strike w:val="false"/>
          <w:dstrike w:val="false"/>
          <w:color w:val="000000"/>
          <w:position w:val="0"/>
          <w:sz w:val="20"/>
          <w:sz w:val="20"/>
          <w:szCs w:val="20"/>
          <w:vertAlign w:val="baseline"/>
        </w:rPr>
        <w:t>.</w:t>
      </w:r>
    </w:p>
    <w:p>
      <w:pPr>
        <w:pStyle w:val="Normal1"/>
        <w:shd w:val="clear" w:fill="FFFFFF"/>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hd w:val="clear" w:fill="FFFFFF"/>
        <w:spacing w:lineRule="auto" w:line="240" w:before="57" w:after="57"/>
        <w:jc w:val="center"/>
        <w:rPr>
          <w:rFonts w:ascii="Arial" w:hAnsi="Arial" w:eastAsia="Arial" w:cs="Arial"/>
          <w:b/>
          <w:color w:val="0000FF"/>
          <w:position w:val="0"/>
          <w:sz w:val="20"/>
          <w:sz w:val="20"/>
          <w:szCs w:val="20"/>
          <w:vertAlign w:val="baseline"/>
        </w:rPr>
      </w:pPr>
      <w:r>
        <w:rPr>
          <w:rFonts w:eastAsia="Arial" w:cs="Arial" w:ascii="Arial" w:hAnsi="Arial"/>
          <w:b/>
          <w:color w:val="0000FF"/>
          <w:position w:val="0"/>
          <w:sz w:val="20"/>
          <w:sz w:val="20"/>
          <w:szCs w:val="20"/>
          <w:vertAlign w:val="baseline"/>
        </w:rPr>
      </w:r>
    </w:p>
    <w:p>
      <w:pPr>
        <w:pStyle w:val="Normal1"/>
        <w:shd w:val="clear" w:fill="FFFFFF"/>
        <w:spacing w:lineRule="auto" w:line="240" w:before="57" w:after="57"/>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XXXXXXXXXXX</w:t>
      </w:r>
    </w:p>
    <w:p>
      <w:pPr>
        <w:pStyle w:val="Normal1"/>
        <w:shd w:val="clear" w:fill="FFFFFF"/>
        <w:spacing w:lineRule="auto" w:line="240" w:before="57" w:after="57"/>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SERVIDOR(A) ÓRGÃO/ENTIDADE / SETOR</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r>
        <w:br w:type="page"/>
      </w:r>
    </w:p>
    <w:p>
      <w:pPr>
        <w:pStyle w:val="Normal1"/>
        <w:widowControl w:val="false"/>
        <w:shd w:val="clear" w:fill="FFFFFF"/>
        <w:tabs>
          <w:tab w:val="clear" w:pos="720"/>
          <w:tab w:val="left" w:pos="0" w:leader="none"/>
        </w:tabs>
        <w:spacing w:lineRule="auto" w:line="240" w:before="0"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ANEXO I</w:t>
      </w:r>
    </w:p>
    <w:p>
      <w:pPr>
        <w:pStyle w:val="Normal1"/>
        <w:widowControl w:val="false"/>
        <w:shd w:val="clear" w:fill="FFFFFF"/>
        <w:tabs>
          <w:tab w:val="clear" w:pos="720"/>
          <w:tab w:val="left" w:pos="0" w:leader="none"/>
        </w:tabs>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shd w:val="clear" w:fill="FFFFFF"/>
        <w:tabs>
          <w:tab w:val="clear" w:pos="720"/>
          <w:tab w:val="left" w:pos="1029" w:leader="none"/>
          <w:tab w:val="center" w:pos="4288" w:leader="none"/>
          <w:tab w:val="right" w:pos="8540" w:leader="none"/>
        </w:tabs>
        <w:ind w:hanging="0" w:left="18" w:right="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MINUTA PADRÃO – CONTRATO DE SERVIÇOS DE ENGENHARIA</w:t>
      </w:r>
    </w:p>
    <w:p>
      <w:pPr>
        <w:pStyle w:val="Normal1"/>
        <w:shd w:val="clear" w:fill="FFFFFF"/>
        <w:tabs>
          <w:tab w:val="clear" w:pos="720"/>
          <w:tab w:val="left" w:pos="1029" w:leader="none"/>
          <w:tab w:val="center" w:pos="4288" w:leader="none"/>
          <w:tab w:val="right" w:pos="8540" w:leader="none"/>
        </w:tabs>
        <w:ind w:hanging="0" w:left="18"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shd w:val="clear" w:fill="FFFFFF"/>
        <w:spacing w:lineRule="auto" w:line="276" w:before="57" w:after="57"/>
        <w:ind w:hanging="0" w:left="27"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CONTRATO ADMINISTRATIVO N°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XXXXXXXX]</w:t>
      </w:r>
    </w:p>
    <w:p>
      <w:pPr>
        <w:pStyle w:val="Normal1"/>
        <w:keepNext w:val="false"/>
        <w:keepLines w:val="false"/>
        <w:pageBreakBefore w:val="false"/>
        <w:widowControl/>
        <w:shd w:val="clear" w:fill="FFFFFF"/>
        <w:spacing w:lineRule="auto" w:line="276" w:before="57" w:after="57"/>
        <w:ind w:hanging="0" w:left="27" w:right="0"/>
        <w:jc w:val="center"/>
        <w:rPr>
          <w:rFonts w:ascii="Arial" w:hAnsi="Arial" w:eastAsia="Arial" w:cs="Arial"/>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1"/>
        <w:keepNext w:val="false"/>
        <w:keepLines w:val="false"/>
        <w:pageBreakBefore w:val="false"/>
        <w:widowControl/>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highlight w:val="white"/>
          <w:u w:val="none"/>
          <w:vertAlign w:val="baseline"/>
        </w:rPr>
        <w:t>CONTRATANTE</w:t>
      </w: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 [</w:t>
      </w:r>
      <w:r>
        <w:rPr>
          <w:rFonts w:eastAsia="Arial" w:cs="Arial" w:ascii="Arial" w:hAnsi="Arial"/>
          <w:b w:val="false"/>
          <w:i w:val="false"/>
          <w:caps w:val="false"/>
          <w:smallCaps w:val="false"/>
          <w:strike w:val="false"/>
          <w:dstrike w:val="false"/>
          <w:color w:val="FF0000"/>
          <w:position w:val="0"/>
          <w:sz w:val="20"/>
          <w:sz w:val="20"/>
          <w:szCs w:val="20"/>
          <w:highlight w:val="yellow"/>
          <w:u w:val="none"/>
          <w:vertAlign w:val="baseline"/>
        </w:rPr>
        <w:t>O ESTADO DO PARANÁ, por intermédio do órgão</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XXXXXXXX] ou [A ENTIDADE PÚBLICA</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CNPJ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 neste ato representado(a) pelo(a)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CARGO E NOME DA AUTORIDADE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 xml:space="preserve"> nomeado pelo Decreto n.º</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p>
    <w:p>
      <w:pPr>
        <w:pStyle w:val="Normal1"/>
        <w:keepNext w:val="false"/>
        <w:keepLines w:val="false"/>
        <w:pageBreakBefore w:val="false"/>
        <w:widowControl/>
        <w:shd w:val="clear" w:fill="FFFFFF"/>
        <w:spacing w:lineRule="auto" w:line="240" w:before="57" w:after="57"/>
        <w:ind w:hanging="0" w:left="27"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pageBreakBefore w:val="false"/>
        <w:widowControl w:val="false"/>
        <w:shd w:val="clear" w:fill="FFFFFF"/>
        <w:tabs>
          <w:tab w:val="clear" w:pos="720"/>
          <w:tab w:val="left" w:pos="27" w:leader="none"/>
        </w:tabs>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CONTRATADO(A)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 no CNPJ/CPF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com sede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neste ato representado por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NOME E QUALIFICAÇÃO</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inscrito(a) no CPF sob o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portador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residente e domiciliado no(a)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e-mail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telefone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pr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esente Contrato será regido pela Lei Federal n.º 14.133, de 1º de abril de 2021, pelo Decreto n.º 10.086, de 17 de janeiro 2022, pela Lei Federal n.º 9.605 de 12 de fevereiro de 1998; pelo Decreto Estadual n.º 4.889, de 31 de maio de 2005; pela Resolução do CONAMA n.º 307 de 5 de julho de 2002, pelo Pregão Eletrônico n.º 0000/202_ GMS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(protocolo n.º 00.000.000-0)</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do procedimento licitatório que originou o presente instrumento, com todos os seus anexos, pela proposta do licitante vencedor, e pelas cláusulas e condições seguintes:</w:t>
      </w:r>
    </w:p>
    <w:p>
      <w:pPr>
        <w:pStyle w:val="Normal1"/>
        <w:widowControl w:val="false"/>
        <w:shd w:val="clear" w:fill="FFFFFF"/>
        <w:tabs>
          <w:tab w:val="clear" w:pos="720"/>
          <w:tab w:val="left" w:pos="0" w:leader="none"/>
        </w:tabs>
        <w:spacing w:lineRule="auto" w:line="240" w:before="57" w:after="57"/>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 CLÁUSULA PRIMEIRA – DO OBJETO</w:t>
      </w:r>
    </w:p>
    <w:p>
      <w:pPr>
        <w:pStyle w:val="Normal1"/>
        <w:widowControl w:val="false"/>
        <w:shd w:val="clear" w:fill="FFFFFF"/>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Style w:val="Table44"/>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adotar uma das redações a seguir:</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Constitui objeto do presente Contrato a execução de serviço(s) de engenharia xxx, de xxx metros quadrados, localizada na xxx, município de xxx, Paraná, conforme planilha de custos (Anexo XIII).</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OU</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1.1 </w:t>
            </w:r>
            <w:r>
              <w:rPr>
                <w:rFonts w:eastAsia="Arial" w:cs="Arial" w:ascii="Arial" w:hAnsi="Arial"/>
                <w:b w:val="false"/>
                <w:i w:val="false"/>
                <w:caps w:val="false"/>
                <w:smallCaps w:val="false"/>
                <w:strike w:val="false"/>
                <w:dstrike w:val="false"/>
                <w:position w:val="0"/>
                <w:sz w:val="20"/>
                <w:sz w:val="20"/>
                <w:szCs w:val="20"/>
                <w:vertAlign w:val="baseline"/>
              </w:rPr>
              <w:t>Constitui objeto do presente Contrato a execução de serviço(s) de engenharia xxx (indicar qual(ais)), localizada, município de xxx, Paraná, conforme planilha de custos (Anexo XIII).</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shd w:val="clear" w:fill="FFFFFF"/>
        <w:tabs>
          <w:tab w:val="clear" w:pos="720"/>
          <w:tab w:val="left" w:pos="-7200" w:leader="none"/>
        </w:tabs>
        <w:spacing w:lineRule="auto" w:line="240" w:before="57" w:after="0"/>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 CLÁUSULA SEGUNDA</w:t>
      </w:r>
    </w:p>
    <w:p>
      <w:pPr>
        <w:pStyle w:val="Normal1"/>
        <w:widowControl w:val="false"/>
        <w:shd w:val="clear" w:fill="FFFFFF"/>
        <w:tabs>
          <w:tab w:val="clear" w:pos="720"/>
          <w:tab w:val="left" w:pos="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tbl>
      <w:tblPr>
        <w:tblStyle w:val="Table4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25</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Administração deverá listar na Cláusula Segunda, os documentos que são parte integrante do Contrato.</w:t>
            </w:r>
          </w:p>
        </w:tc>
      </w:tr>
    </w:tbl>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2.1. </w:t>
      </w:r>
      <w:r>
        <w:rPr>
          <w:rFonts w:eastAsia="Arial" w:cs="Arial" w:ascii="Arial" w:hAnsi="Arial"/>
          <w:b w:val="false"/>
          <w:i w:val="false"/>
          <w:caps w:val="false"/>
          <w:smallCaps w:val="false"/>
          <w:strike w:val="false"/>
          <w:dstrike w:val="false"/>
          <w:position w:val="0"/>
          <w:sz w:val="20"/>
          <w:sz w:val="20"/>
          <w:szCs w:val="20"/>
          <w:vertAlign w:val="baseline"/>
        </w:rPr>
        <w:t>Este contrato está instruído com os seguintes documentos:</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b)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XXXXXXXXXXXX</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d) </w:t>
      </w:r>
      <w:r>
        <w:rPr>
          <w:rFonts w:eastAsia="Arial" w:cs="Arial" w:ascii="Arial" w:hAnsi="Arial"/>
          <w:b w:val="false"/>
          <w:i w:val="false"/>
          <w:caps w:val="false"/>
          <w:smallCaps w:val="false"/>
          <w:strike w:val="false"/>
          <w:dstrike w:val="false"/>
          <w:position w:val="0"/>
          <w:sz w:val="20"/>
          <w:sz w:val="20"/>
          <w:szCs w:val="20"/>
          <w:highlight w:val="yellow"/>
          <w:vertAlign w:val="baseline"/>
        </w:rPr>
        <w:t>XXXXXXXXXXXX</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2.2.</w:t>
      </w:r>
      <w:r>
        <w:rPr>
          <w:rFonts w:eastAsia="Arial" w:cs="Arial" w:ascii="Arial" w:hAnsi="Arial"/>
          <w:b w:val="false"/>
          <w:i w:val="false"/>
          <w:caps w:val="false"/>
          <w:smallCaps w:val="false"/>
          <w:strike w:val="false"/>
          <w:dstrike w:val="false"/>
          <w:position w:val="0"/>
          <w:sz w:val="20"/>
          <w:sz w:val="20"/>
          <w:szCs w:val="20"/>
          <w:vertAlign w:val="baseline"/>
        </w:rPr>
        <w:t xml:space="preserve"> Em caso de divergência ou duplicidade em relação aos elementos técnicos instrutores, prevalecerá na execução do objeto do contrato a seguinte ordem de prioridade:</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2.2.1. </w:t>
      </w:r>
      <w:r>
        <w:rPr>
          <w:rFonts w:eastAsia="Arial" w:cs="Arial" w:ascii="Arial" w:hAnsi="Arial"/>
          <w:b w:val="false"/>
          <w:i w:val="false"/>
          <w:caps w:val="false"/>
          <w:smallCaps w:val="false"/>
          <w:strike w:val="false"/>
          <w:dstrike w:val="false"/>
          <w:position w:val="0"/>
          <w:sz w:val="20"/>
          <w:sz w:val="20"/>
          <w:szCs w:val="20"/>
          <w:vertAlign w:val="baseline"/>
        </w:rPr>
        <w:t>Projetos arquitetônico e complementares, especificações e memoriais descritivos e demais elementos técnicos pertinentes a cada caso;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2.2.2. </w:t>
      </w:r>
      <w:r>
        <w:rPr>
          <w:rFonts w:eastAsia="Arial" w:cs="Arial" w:ascii="Arial" w:hAnsi="Arial"/>
          <w:b w:val="false"/>
          <w:i w:val="false"/>
          <w:caps w:val="false"/>
          <w:smallCaps w:val="false"/>
          <w:strike w:val="false"/>
          <w:dstrike w:val="false"/>
          <w:position w:val="0"/>
          <w:sz w:val="20"/>
          <w:sz w:val="20"/>
          <w:szCs w:val="20"/>
          <w:vertAlign w:val="baseline"/>
        </w:rPr>
        <w:t>Planilha de quantidades de serviços;</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2.2.3. </w:t>
      </w:r>
      <w:r>
        <w:rPr>
          <w:rFonts w:eastAsia="Arial" w:cs="Arial" w:ascii="Arial" w:hAnsi="Arial"/>
          <w:b w:val="false"/>
          <w:i w:val="false"/>
          <w:caps w:val="false"/>
          <w:smallCaps w:val="false"/>
          <w:strike w:val="false"/>
          <w:dstrike w:val="false"/>
          <w:position w:val="0"/>
          <w:sz w:val="20"/>
          <w:sz w:val="20"/>
          <w:szCs w:val="20"/>
          <w:vertAlign w:val="baseline"/>
        </w:rPr>
        <w:t>Nos projetos prevalecerão os elementos de maior detalhamento;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2.2.4 </w:t>
      </w:r>
      <w:r>
        <w:rPr>
          <w:rFonts w:eastAsia="Arial" w:cs="Arial" w:ascii="Arial" w:hAnsi="Arial"/>
          <w:b w:val="false"/>
          <w:i w:val="false"/>
          <w:caps w:val="false"/>
          <w:smallCaps w:val="false"/>
          <w:strike w:val="false"/>
          <w:dstrike w:val="false"/>
          <w:position w:val="0"/>
          <w:sz w:val="20"/>
          <w:sz w:val="20"/>
          <w:szCs w:val="20"/>
          <w:vertAlign w:val="baseline"/>
        </w:rPr>
        <w:t>A planilha de quantidades e serviços será orientativa, devendo o CONTRATADO tomar por base o(s) projeto(s) constante(s) e os anexos do instrumento convocatório, desde o momento da efetivação de sua proposta no procedimento licitatório até a execução do objeto;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2.2.5. </w:t>
      </w:r>
      <w:r>
        <w:rPr>
          <w:rFonts w:eastAsia="Arial" w:cs="Arial" w:ascii="Arial" w:hAnsi="Arial"/>
          <w:b w:val="false"/>
          <w:i w:val="false"/>
          <w:caps w:val="false"/>
          <w:smallCaps w:val="false"/>
          <w:strike w:val="false"/>
          <w:dstrike w:val="false"/>
          <w:position w:val="0"/>
          <w:sz w:val="20"/>
          <w:sz w:val="20"/>
          <w:szCs w:val="20"/>
          <w:vertAlign w:val="baseline"/>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2.3.</w:t>
      </w:r>
      <w:r>
        <w:rPr>
          <w:rFonts w:eastAsia="Arial" w:cs="Arial" w:ascii="Arial" w:hAnsi="Arial"/>
          <w:b w:val="false"/>
          <w:i w:val="false"/>
          <w:caps w:val="false"/>
          <w:smallCaps w:val="false"/>
          <w:strike w:val="false"/>
          <w:dstrike w:val="false"/>
          <w:position w:val="0"/>
          <w:sz w:val="20"/>
          <w:sz w:val="20"/>
          <w:szCs w:val="20"/>
          <w:vertAlign w:val="baseline"/>
        </w:rPr>
        <w:t xml:space="preserve"> Se o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CONTRATADO, em qualquer fase da execução do contrato, considerar necessária a retificação dos elementos técnicos instrutores, deverá requerer suas alterações, em tempo hábil, ao CONTRATANTE, não se justificando o </w:t>
      </w:r>
      <w:r>
        <w:rPr>
          <w:rFonts w:eastAsia="Arial" w:cs="Arial" w:ascii="Arial" w:hAnsi="Arial"/>
          <w:b w:val="false"/>
          <w:i w:val="false"/>
          <w:caps w:val="false"/>
          <w:smallCaps w:val="false"/>
          <w:strike w:val="false"/>
          <w:dstrike w:val="false"/>
          <w:position w:val="0"/>
          <w:sz w:val="20"/>
          <w:sz w:val="20"/>
          <w:szCs w:val="20"/>
          <w:vertAlign w:val="baseline"/>
        </w:rPr>
        <w:t>abandono das atividades ajustadas, por inadequações não reclamadas na ocasião oportuna;</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2.3.1. </w:t>
      </w:r>
      <w:r>
        <w:rPr>
          <w:rFonts w:eastAsia="Arial" w:cs="Arial" w:ascii="Arial" w:hAnsi="Arial"/>
          <w:b w:val="false"/>
          <w:i w:val="false"/>
          <w:caps w:val="false"/>
          <w:smallCaps w:val="false"/>
          <w:strike w:val="false"/>
          <w:dstrike w:val="false"/>
          <w:color w:val="000000"/>
          <w:position w:val="0"/>
          <w:sz w:val="20"/>
          <w:sz w:val="20"/>
          <w:szCs w:val="20"/>
          <w:vertAlign w:val="baseline"/>
        </w:rPr>
        <w:t>Nenhuma modificação poderá ser feita nos desenhos e nas especificações dos projetos sem autorização expressa do CONTRATANTE.</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2.4.</w:t>
      </w:r>
      <w:r>
        <w:rPr>
          <w:rFonts w:eastAsia="Arial" w:cs="Arial" w:ascii="Arial" w:hAnsi="Arial"/>
          <w:b w:val="false"/>
          <w:i w:val="false"/>
          <w:caps w:val="false"/>
          <w:smallCaps w:val="false"/>
          <w:strike w:val="false"/>
          <w:dstrike w:val="false"/>
          <w:position w:val="0"/>
          <w:sz w:val="20"/>
          <w:sz w:val="20"/>
          <w:szCs w:val="20"/>
          <w:vertAlign w:val="baseline"/>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item 2.3 deste Contrato e seu subitem.</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2.5</w:t>
      </w:r>
      <w:r>
        <w:rPr>
          <w:rFonts w:eastAsia="Arial" w:cs="Arial" w:ascii="Arial" w:hAnsi="Arial"/>
          <w:b w:val="false"/>
          <w:i w:val="false"/>
          <w:caps w:val="false"/>
          <w:smallCaps w:val="false"/>
          <w:strike w:val="false"/>
          <w:dstrike w:val="false"/>
          <w:position w:val="0"/>
          <w:sz w:val="20"/>
          <w:sz w:val="20"/>
          <w:szCs w:val="20"/>
          <w:vertAlign w:val="baseline"/>
        </w:rPr>
        <w:t>. A formalização de contrato presume que o CONTRATADO;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2.5.1 </w:t>
      </w:r>
      <w:r>
        <w:rPr>
          <w:rFonts w:eastAsia="Arial" w:cs="Arial" w:ascii="Arial" w:hAnsi="Arial"/>
          <w:b w:val="false"/>
          <w:i w:val="false"/>
          <w:caps w:val="false"/>
          <w:smallCaps w:val="false"/>
          <w:strike w:val="false"/>
          <w:dstrike w:val="false"/>
          <w:position w:val="0"/>
          <w:sz w:val="20"/>
          <w:sz w:val="20"/>
          <w:szCs w:val="20"/>
          <w:vertAlign w:val="baseline"/>
        </w:rPr>
        <w:t>Examinou criteriosamente todos os elementos técnicos instrutores, que os comparou entre si e obteve expressamente do CONTRATANTE as informações necessárias à sua consecução;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2.5.2 </w:t>
      </w:r>
      <w:r>
        <w:rPr>
          <w:rFonts w:eastAsia="Arial" w:cs="Arial" w:ascii="Arial" w:hAnsi="Arial"/>
          <w:b w:val="false"/>
          <w:i w:val="false"/>
          <w:caps w:val="false"/>
          <w:smallCaps w:val="false"/>
          <w:strike w:val="false"/>
          <w:dstrike w:val="false"/>
          <w:position w:val="0"/>
          <w:sz w:val="20"/>
          <w:sz w:val="20"/>
          <w:szCs w:val="20"/>
          <w:vertAlign w:val="baseline"/>
        </w:rPr>
        <w:t>Atestou que conhece o local e as condições de realização da obra ou serviço, ficando ciente de todos os detalhes do empreendimento e de que conhece as condições de sua execução.</w:t>
      </w:r>
    </w:p>
    <w:p>
      <w:pPr>
        <w:pStyle w:val="Normal1"/>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2.6</w:t>
      </w:r>
      <w:r>
        <w:rPr>
          <w:rFonts w:eastAsia="Arial" w:cs="Arial" w:ascii="Arial" w:hAnsi="Arial"/>
          <w:b w:val="false"/>
          <w:i w:val="false"/>
          <w:caps w:val="false"/>
          <w:smallCaps w:val="false"/>
          <w:strike w:val="false"/>
          <w:dstrike w:val="false"/>
          <w:position w:val="0"/>
          <w:sz w:val="20"/>
          <w:sz w:val="20"/>
          <w:szCs w:val="20"/>
          <w:vertAlign w:val="baseline"/>
        </w:rPr>
        <w:t xml:space="preserve"> As placas de obra deverão seguir o modelo estabelecido pelo Estado, e devem estar perfeitamente visíveis e legíveis ao público.</w:t>
      </w:r>
    </w:p>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vertAlign w:val="baseline"/>
        </w:rPr>
        <w:t>3. CLÁUSULA TERCEIRA – DO REGIME DE EXECUÇÃO</w:t>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vertAlign w:val="baseline"/>
        </w:rPr>
        <w:t xml:space="preserve">3.1 </w:t>
      </w:r>
      <w:r>
        <w:rPr>
          <w:rFonts w:eastAsia="Arial" w:cs="Arial" w:ascii="Arial" w:hAnsi="Arial"/>
          <w:b w:val="false"/>
          <w:i w:val="false"/>
          <w:caps w:val="false"/>
          <w:smallCaps w:val="false"/>
          <w:strike w:val="false"/>
          <w:dstrike w:val="false"/>
          <w:color w:val="00000A"/>
          <w:position w:val="0"/>
          <w:sz w:val="20"/>
          <w:sz w:val="20"/>
          <w:szCs w:val="20"/>
          <w:highlight w:val="white"/>
          <w:vertAlign w:val="baseline"/>
        </w:rPr>
        <w:t xml:space="preserve">O regime de execução do presente Contrato será o de empreitada </w:t>
      </w:r>
      <w:r>
        <w:rPr>
          <w:rFonts w:eastAsia="Arial" w:cs="Arial" w:ascii="Arial" w:hAnsi="Arial"/>
          <w:b w:val="false"/>
          <w:i w:val="false"/>
          <w:caps w:val="false"/>
          <w:smallCaps w:val="false"/>
          <w:strike w:val="false"/>
          <w:dstrike w:val="false"/>
          <w:color w:val="00000A"/>
          <w:position w:val="0"/>
          <w:sz w:val="20"/>
          <w:sz w:val="20"/>
          <w:szCs w:val="20"/>
          <w:highlight w:val="yellow"/>
          <w:vertAlign w:val="baseline"/>
        </w:rPr>
        <w:t>xxxxxxxxxx.</w:t>
      </w:r>
    </w:p>
    <w:p>
      <w:pPr>
        <w:pStyle w:val="Normal1"/>
        <w:widowControl w:val="false"/>
        <w:shd w:val="clear" w:fill="FFFFFF"/>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tbl>
      <w:tblPr>
        <w:tblStyle w:val="Table4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Administração deverá </w:t>
            </w:r>
            <w:r>
              <w:rPr>
                <w:rFonts w:eastAsia="Arial" w:cs="Arial" w:ascii="Arial" w:hAnsi="Arial"/>
                <w:b w:val="false"/>
                <w:i w:val="false"/>
                <w:caps w:val="false"/>
                <w:smallCaps w:val="false"/>
                <w:strike w:val="false"/>
                <w:dstrike w:val="false"/>
                <w:position w:val="0"/>
                <w:sz w:val="20"/>
                <w:sz w:val="20"/>
                <w:szCs w:val="20"/>
                <w:highlight w:val="yellow"/>
                <w:vertAlign w:val="baseline"/>
              </w:rPr>
              <w:t>definir um dos regimes de empreitada previsto na Lei Federal n.º 14.133/2021.</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FF0000"/>
                <w:position w:val="0"/>
                <w:sz w:val="20"/>
                <w:sz w:val="20"/>
                <w:szCs w:val="20"/>
                <w:highlight w:val="yellow"/>
                <w:u w:val="none"/>
                <w:vertAlign w:val="baseline"/>
              </w:rPr>
              <w:t>- empreitada por preço unitário: contratação da execução da obra ou do serviço por preço certo de unidades determinadas;</w:t>
            </w:r>
            <w:bookmarkStart w:id="12" w:name="bookmark=id.lnxbz9"/>
            <w:bookmarkEnd w:id="12"/>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br/>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empreitada por preço global: contratação da execução da obra ou do serviço por preço certo e total;</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contratação por tarefa: regime de contratação de mão de obra para pequenos trabalhos por preço certo, com ou sem fornecimento de materiais;</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pPr>
              <w:pStyle w:val="Normal1"/>
              <w:keepNext w:val="false"/>
              <w:keepLines w:val="false"/>
              <w:widowControl/>
              <w:shd w:val="clear" w:fill="FFFF00"/>
              <w:spacing w:lineRule="auto" w:line="240" w:before="0" w:after="0"/>
              <w:ind w:hanging="0" w:left="0" w:right="-1"/>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shd w:val="clear" w:fill="FFFFFF"/>
        <w:tabs>
          <w:tab w:val="clear" w:pos="720"/>
          <w:tab w:val="left" w:pos="-7200" w:leader="none"/>
        </w:tabs>
        <w:spacing w:lineRule="auto" w:line="240" w:before="57" w:after="0"/>
        <w:rPr>
          <w:rFonts w:ascii="Arial" w:hAnsi="Arial" w:eastAsia="Arial" w:cs="Arial"/>
          <w:b/>
          <w:color w:val="FF0000"/>
          <w:position w:val="0"/>
          <w:sz w:val="20"/>
          <w:sz w:val="20"/>
          <w:szCs w:val="20"/>
          <w:vertAlign w:val="baseline"/>
        </w:rPr>
      </w:pPr>
      <w:r>
        <w:rPr>
          <w:rFonts w:eastAsia="Arial" w:cs="Arial" w:ascii="Arial" w:hAnsi="Arial"/>
          <w:b/>
          <w:color w:val="FF0000"/>
          <w:position w:val="0"/>
          <w:sz w:val="20"/>
          <w:sz w:val="20"/>
          <w:szCs w:val="20"/>
          <w:vertAlign w:val="baseline"/>
        </w:rPr>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4. CLÁUSULA QUARTA – DO VALOR</w:t>
      </w:r>
    </w:p>
    <w:p>
      <w:pPr>
        <w:pStyle w:val="Normal1"/>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vertAlign w:val="baseline"/>
        </w:rPr>
        <w:t>4.1.</w:t>
      </w:r>
      <w:r>
        <w:rPr>
          <w:rFonts w:eastAsia="Arial" w:cs="Arial" w:ascii="Arial" w:hAnsi="Arial"/>
          <w:b w:val="false"/>
          <w:i w:val="false"/>
          <w:caps w:val="false"/>
          <w:smallCaps w:val="false"/>
          <w:strike w:val="false"/>
          <w:dstrike w:val="false"/>
          <w:color w:val="00000A"/>
          <w:position w:val="0"/>
          <w:sz w:val="20"/>
          <w:sz w:val="20"/>
          <w:szCs w:val="20"/>
          <w:highlight w:val="white"/>
          <w:vertAlign w:val="baseline"/>
        </w:rPr>
        <w:t xml:space="preserve"> No valor global do presente Contrato é R$ ______________ (______________________________), sendo 00,00% (xxx vírgula xxx por cento) referente aos materiais e 00,00% (xxx vírgula xxx por cento) referente à mão de obra.</w:t>
      </w:r>
    </w:p>
    <w:p>
      <w:pPr>
        <w:pStyle w:val="Normal1"/>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 CLÁUSULA QUINTA – DO PRAZO DE EXECUÇÃO E DE VIGÊNCIA</w:t>
      </w:r>
    </w:p>
    <w:p>
      <w:pPr>
        <w:pStyle w:val="Normal1"/>
        <w:widowControl w:val="false"/>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5.1</w:t>
      </w:r>
      <w:r>
        <w:rPr>
          <w:rFonts w:eastAsia="Arial" w:cs="Arial" w:ascii="Arial" w:hAnsi="Arial"/>
          <w:b w:val="false"/>
          <w:i w:val="false"/>
          <w:caps w:val="false"/>
          <w:smallCaps w:val="false"/>
          <w:strike w:val="false"/>
          <w:dstrike w:val="false"/>
          <w:position w:val="0"/>
          <w:sz w:val="20"/>
          <w:sz w:val="20"/>
          <w:szCs w:val="20"/>
          <w:vertAlign w:val="baseline"/>
        </w:rPr>
        <w:t xml:space="preserve"> O prazo de execução do contrato é de </w:t>
      </w:r>
      <w:r>
        <w:rPr>
          <w:rFonts w:eastAsia="Arial" w:cs="Arial" w:ascii="Arial" w:hAnsi="Arial"/>
          <w:b w:val="false"/>
          <w:i w:val="false"/>
          <w:caps w:val="false"/>
          <w:smallCaps w:val="false"/>
          <w:strike w:val="false"/>
          <w:dstrike w:val="false"/>
          <w:position w:val="0"/>
          <w:sz w:val="20"/>
          <w:sz w:val="20"/>
          <w:szCs w:val="20"/>
          <w:highlight w:val="yellow"/>
          <w:vertAlign w:val="baseline"/>
        </w:rPr>
        <w:t>000 (xxx)</w:t>
      </w:r>
      <w:r>
        <w:rPr>
          <w:rFonts w:eastAsia="Arial" w:cs="Arial" w:ascii="Arial" w:hAnsi="Arial"/>
          <w:b w:val="false"/>
          <w:i w:val="false"/>
          <w:caps w:val="false"/>
          <w:smallCaps w:val="false"/>
          <w:strike w:val="false"/>
          <w:dstrike w:val="false"/>
          <w:position w:val="0"/>
          <w:sz w:val="20"/>
          <w:sz w:val="20"/>
          <w:szCs w:val="20"/>
          <w:vertAlign w:val="baseline"/>
        </w:rPr>
        <w:t xml:space="preserve"> dias corridos, contados a partir da data estabelecida na Ordem de Serviço para início da execução do objeto, e a vigência do contrato se inicia com a assinatura do contrato e é de 180 (cento e oitenta) dias contados a partir do término do prazo de execução.</w:t>
      </w:r>
    </w:p>
    <w:p>
      <w:pPr>
        <w:pStyle w:val="Normal1"/>
        <w:widowControl w:val="false"/>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5.2.</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O prazo de vigência será automaticamente prorrogado quando seu objeto não for concluído no período firmado no contrato.</w:t>
      </w:r>
    </w:p>
    <w:p>
      <w:pPr>
        <w:pStyle w:val="Normal1"/>
        <w:widowControl w:val="false"/>
        <w:shd w:val="clear" w:fill="FFFFFF"/>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5.2.1.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Quando a não conclusão decorrer de culpa do contratado:</w:t>
      </w:r>
    </w:p>
    <w:p>
      <w:pPr>
        <w:pStyle w:val="Normal1"/>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o contratado será constituído em mora, aplicáveis a ele as respectivas sanções administrativas;</w:t>
      </w:r>
      <w:bookmarkStart w:id="13" w:name="bookmark=id.35nkun2"/>
      <w:bookmarkEnd w:id="13"/>
    </w:p>
    <w:p>
      <w:pPr>
        <w:pStyle w:val="Normal1"/>
        <w:keepNext w:val="false"/>
        <w:keepLines w:val="false"/>
        <w:pageBreakBefore w:val="false"/>
        <w:widowControl/>
        <w:shd w:val="clear" w:fill="FFFFFF"/>
        <w:spacing w:lineRule="auto" w:line="276" w:before="0" w:after="20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a Administração poderá optar pela extinção do contrato e, nesse caso, adotará as medidas admitidas em lei para a continuidade da execução contratual.</w:t>
      </w:r>
    </w:p>
    <w:p>
      <w:pPr>
        <w:pStyle w:val="Normal1"/>
        <w:widowControl w:val="false"/>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7"/>
        <w:tblW w:w="9023" w:type="dxa"/>
        <w:jc w:val="left"/>
        <w:tblInd w:w="-55" w:type="dxa"/>
        <w:tblLayout w:type="fixed"/>
        <w:tblCellMar>
          <w:top w:w="0" w:type="dxa"/>
          <w:left w:w="108" w:type="dxa"/>
          <w:bottom w:w="0" w:type="dxa"/>
          <w:right w:w="108" w:type="dxa"/>
        </w:tblCellMar>
        <w:tblLook w:val="0000"/>
      </w:tblPr>
      <w:tblGrid>
        <w:gridCol w:w="9023"/>
      </w:tblGrid>
      <w:tr>
        <w:trPr/>
        <w:tc>
          <w:tcPr>
            <w:tcW w:w="9023"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Atenção! O que se prorroga automaticamente nos contratos de escopo é o prazo de vigência. A prorrogação do prazo de execução não segue a mesma lógica.</w:t>
            </w:r>
          </w:p>
          <w:p>
            <w:pPr>
              <w:pStyle w:val="Normal1"/>
              <w:shd w:val="clear" w:fill="FFFF00"/>
              <w:spacing w:lineRule="auto" w:line="240" w:before="0" w:after="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00"/>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Prazo de execução do contrato - prazo estipulado no contrato administrativo para a execução e entrega do objeto contratado;</w:t>
            </w:r>
          </w:p>
          <w:p>
            <w:pPr>
              <w:pStyle w:val="Normal1"/>
              <w:shd w:val="clear" w:fill="FFFF00"/>
              <w:spacing w:lineRule="auto" w:line="240" w:before="0" w:after="0"/>
              <w:jc w:val="both"/>
              <w:rPr>
                <w:rFonts w:ascii="Arial" w:hAnsi="Arial" w:eastAsia="Arial" w:cs="Arial"/>
                <w:color w:val="000000"/>
                <w:position w:val="0"/>
                <w:sz w:val="20"/>
                <w:sz w:val="20"/>
                <w:szCs w:val="20"/>
                <w:highlight w:val="darkYellow"/>
                <w:vertAlign w:val="baseline"/>
              </w:rPr>
            </w:pPr>
            <w:r>
              <w:rPr>
                <w:rFonts w:eastAsia="Arial" w:cs="Arial" w:ascii="Arial" w:hAnsi="Arial"/>
                <w:color w:val="000000"/>
                <w:position w:val="0"/>
                <w:sz w:val="20"/>
                <w:sz w:val="20"/>
                <w:szCs w:val="20"/>
                <w:highlight w:val="darkYellow"/>
                <w:vertAlign w:val="baseline"/>
              </w:rPr>
            </w:r>
          </w:p>
          <w:p>
            <w:pPr>
              <w:pStyle w:val="Normal1"/>
              <w:shd w:val="clear" w:fill="FFFF00"/>
              <w:spacing w:lineRule="auto" w:line="240" w:before="0"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Atenção ao disposto no art. 464 do Decreto n.º 10.086/2022:</w:t>
            </w:r>
          </w:p>
          <w:p>
            <w:pPr>
              <w:pStyle w:val="Normal1"/>
              <w:keepNext w:val="false"/>
              <w:keepLines w:val="false"/>
              <w:widowControl/>
              <w:shd w:val="clear" w:fill="FFFF00"/>
              <w:spacing w:lineRule="auto" w:line="240" w:before="0"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Art. 464. O prazo de execução de obra e serviços de engenharia deverá ser estipulado de acordo com a complexidade e dimensão do projeto e justificado nos autos do processo da contratação.</w:t>
            </w:r>
          </w:p>
          <w:p>
            <w:pPr>
              <w:pStyle w:val="Normal1"/>
              <w:keepNext w:val="false"/>
              <w:keepLines w:val="false"/>
              <w:widowControl/>
              <w:shd w:val="clear" w:fill="FFFF00"/>
              <w:spacing w:lineRule="auto" w:line="240" w:before="0"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1º O termo final da vigência do contrato para obras e serviços de engenharia e/ou arquitetura deverá ser o do prazo de execução acrescido de período estabelecido em edital e/ou contrato administrativo.</w:t>
            </w:r>
          </w:p>
          <w:p>
            <w:pPr>
              <w:pStyle w:val="Normal1"/>
              <w:keepNext w:val="false"/>
              <w:keepLines w:val="false"/>
              <w:widowControl/>
              <w:shd w:val="clear" w:fill="FFFF00"/>
              <w:spacing w:lineRule="auto" w:line="240" w:before="0"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2º É indispensável a fixação dos limites de vigência dos contratos administrativos, de forma que o tempo não comprometa as condições originais da avença, podendo ser devolvido o prazo quando a Administração mesma concorrer, em virtude da própria natureza do avençado, para interrupção da sua execução pelo contratante.</w:t>
            </w:r>
          </w:p>
          <w:p>
            <w:pPr>
              <w:pStyle w:val="Normal1"/>
              <w:keepNext w:val="false"/>
              <w:keepLines w:val="false"/>
              <w:widowControl/>
              <w:shd w:val="clear" w:fill="FFFF00"/>
              <w:spacing w:lineRule="auto" w:line="240" w:before="0"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3º Toda solicitação de prorrogação de prazo de execução deverá ser efetivada no período de execução do contrato, bem como toda solicitação de prorrogação da vigência contratual deverá ser efetivada durante sua vigência, previamente autorizada pelo contratante, em ambos os casos.</w:t>
            </w:r>
          </w:p>
          <w:p>
            <w:pPr>
              <w:pStyle w:val="Normal1"/>
              <w:keepNext w:val="false"/>
              <w:keepLines w:val="false"/>
              <w:widowControl/>
              <w:shd w:val="clear" w:fill="FFFF00"/>
              <w:spacing w:lineRule="auto" w:line="240" w:before="0"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4º o prazo de vigência será automaticamente prorrogado quando seu objeto não for concluído no período firmado no contrato, nos termos do art. 111 da Lei Federal nº 14.133, de 2021.</w:t>
            </w:r>
          </w:p>
          <w:p>
            <w:pPr>
              <w:pStyle w:val="Normal1"/>
              <w:shd w:val="clear" w:fill="FFFF00"/>
              <w:spacing w:lineRule="auto" w:line="240" w:before="0" w:after="0"/>
              <w:jc w:val="both"/>
              <w:rPr>
                <w:rFonts w:ascii="Arial" w:hAnsi="Arial" w:eastAsia="Arial" w:cs="Arial"/>
                <w:color w:val="CE181E"/>
                <w:position w:val="0"/>
                <w:sz w:val="20"/>
                <w:sz w:val="20"/>
                <w:szCs w:val="20"/>
                <w:highlight w:val="darkYellow"/>
                <w:vertAlign w:val="baseline"/>
              </w:rPr>
            </w:pPr>
            <w:r>
              <w:rPr>
                <w:rFonts w:eastAsia="Arial" w:cs="Arial" w:ascii="Arial" w:hAnsi="Arial"/>
                <w:color w:val="CE181E"/>
                <w:position w:val="0"/>
                <w:sz w:val="20"/>
                <w:sz w:val="20"/>
                <w:szCs w:val="20"/>
                <w:highlight w:val="darkYellow"/>
                <w:vertAlign w:val="baseline"/>
              </w:rPr>
            </w:r>
          </w:p>
        </w:tc>
      </w:tr>
    </w:tbl>
    <w:p>
      <w:pPr>
        <w:pStyle w:val="Normal1"/>
        <w:widowControl w:val="false"/>
        <w:shd w:val="clear" w:fill="FFFFFF"/>
        <w:spacing w:lineRule="auto" w:line="240" w:before="57" w:after="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 CLÁUSULA SEXTA – DOS CONTROLES DE EXECUÇÃO</w:t>
      </w:r>
    </w:p>
    <w:p>
      <w:pPr>
        <w:pStyle w:val="Normal1"/>
        <w:widowControl w:val="false"/>
        <w:shd w:val="clear" w:fill="FFFFFF"/>
        <w:tabs>
          <w:tab w:val="clear" w:pos="720"/>
          <w:tab w:val="left" w:pos="-72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6.1</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CONTRATANTE fiscalizará por seus agentes, com a possibilidade de auxílio de terceiros, a execução das obras e serviços, a fim de garantir integral cumprimento e observância das normas técnico-administrativo-legais regentes dos contratos firmados.</w:t>
      </w:r>
    </w:p>
    <w:p>
      <w:pPr>
        <w:pStyle w:val="Normal1"/>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responsabilidade pela gestão deste contrato caberá ao(à) servidor(a) ou comissão designados, conforme item</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6.1.3 deste Contrato, o(a) qual será responsável pelas atribuições definidas no art. 10 do Decreto n.º 10.086, de 2022.</w:t>
      </w:r>
    </w:p>
    <w:p>
      <w:pPr>
        <w:pStyle w:val="Normal1"/>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6.1.2 </w:t>
      </w:r>
      <w:r>
        <w:rPr>
          <w:rFonts w:eastAsia="Arial" w:cs="Arial" w:ascii="Arial" w:hAnsi="Arial"/>
          <w:b w:val="false"/>
          <w:i w:val="false"/>
          <w:caps w:val="false"/>
          <w:smallCaps w:val="false"/>
          <w:strike w:val="false"/>
          <w:dstrike w:val="false"/>
          <w:color w:val="000000"/>
          <w:position w:val="0"/>
          <w:sz w:val="20"/>
          <w:sz w:val="20"/>
          <w:szCs w:val="20"/>
          <w:vertAlign w:val="baseline"/>
        </w:rPr>
        <w:t>A responsabilidade pela fiscalização deste contrato caberá ao(à) servidor(a) ou comissão designados, conforme o item 6.1.3 deste, o(a) qual será responsável pelas atribuições definidas nos arts. 11 e 12 do Decreto n.º 10.086, de 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022.</w:t>
      </w:r>
    </w:p>
    <w:p>
      <w:pPr>
        <w:pStyle w:val="Normal1"/>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Os responsáveis pela gestão e fiscalização do contrato serão designados por ato administrativo próprio do Contratante.</w:t>
      </w:r>
    </w:p>
    <w:p>
      <w:pPr>
        <w:pStyle w:val="Normal1"/>
        <w:widowControl w:val="false"/>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6.1.4.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pPr>
        <w:pStyle w:val="Normal1"/>
        <w:widowControl w:val="false"/>
        <w:shd w:val="clear" w:fill="FFFFFF"/>
        <w:tabs>
          <w:tab w:val="clear" w:pos="720"/>
          <w:tab w:val="left" w:pos="-72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w:t>
      </w:r>
      <w:r>
        <w:rPr>
          <w:rFonts w:eastAsia="Arial" w:cs="Arial" w:ascii="Arial" w:hAnsi="Arial"/>
          <w:b w:val="false"/>
          <w:i w:val="false"/>
          <w:caps w:val="false"/>
          <w:smallCaps w:val="false"/>
          <w:strike w:val="false"/>
          <w:dstrike w:val="false"/>
          <w:position w:val="0"/>
          <w:sz w:val="20"/>
          <w:sz w:val="20"/>
          <w:szCs w:val="20"/>
          <w:vertAlign w:val="baseline"/>
        </w:rPr>
        <w:t xml:space="preserve"> Para efeito de medição e de faturamento, relativo aos serviços executados, deverá ser considerado o cumprimento do avanço das etapas construtivas definidas no cronograma físico-financeiro, que será peça integrante do contrato.</w:t>
      </w:r>
    </w:p>
    <w:p>
      <w:pPr>
        <w:pStyle w:val="Normal1"/>
        <w:widowControl w:val="false"/>
        <w:shd w:val="clear" w:fill="FFFFFF"/>
        <w:tabs>
          <w:tab w:val="clear" w:pos="720"/>
          <w:tab w:val="left" w:pos="-6917" w:leader="none"/>
        </w:tabs>
        <w:spacing w:lineRule="auto" w:line="240" w:before="57" w:after="0"/>
        <w:ind w:hanging="0" w:left="283"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No caso de adoção de um dos seguintes Regime de Empreitada: empreitada por preço global, contratação por tarefa, empreitada integral, contratação integrada, contratação semi-integrada, a redação do item 6.2.1 deverá ser a seguinte:</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 cronograma inicial é ilustrado por representação gráfica conforme modelo adotado pelo CONTRATANTE.</w:t>
      </w:r>
    </w:p>
    <w:p>
      <w:pPr>
        <w:pStyle w:val="Normal1"/>
        <w:widowControl w:val="false"/>
        <w:shd w:val="clear" w:fill="FFFFFF"/>
        <w:tabs>
          <w:tab w:val="clear" w:pos="720"/>
          <w:tab w:val="left" w:pos="1080" w:leader="none"/>
        </w:tabs>
        <w:spacing w:lineRule="auto" w:line="240" w:before="57" w:after="0"/>
        <w:ind w:hanging="0" w:left="1080" w:right="0"/>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29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Se for adotado o Regime de Empreitada por Preço Unitário deve ser utilizada a seguinte redação:</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sistemática de medição e pagamento será a de remuneração orientada por preços unitários ou referenciada pela execução de quantidades de itens unitários, de modo que seja realizada em função das unidades de serviços efetivamente executadas, mediante cálculo aritmético de multiplicação das quantidades executadas pelos seus respectivos preços unitários, previamente definidos na planilha de serviços.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6.2.2</w:t>
      </w:r>
      <w:r>
        <w:rPr>
          <w:rFonts w:eastAsia="Arial" w:cs="Arial" w:ascii="Arial" w:hAnsi="Arial"/>
          <w:b w:val="false"/>
          <w:i w:val="false"/>
          <w:caps w:val="false"/>
          <w:smallCaps w:val="false"/>
          <w:strike w:val="false"/>
          <w:dstrike w:val="false"/>
          <w:color w:val="000000"/>
          <w:position w:val="0"/>
          <w:sz w:val="20"/>
          <w:sz w:val="20"/>
          <w:szCs w:val="20"/>
          <w:vertAlign w:val="baseline"/>
        </w:rPr>
        <w:t>. Nos contratos por regime de preços unitários prevalecerão as quantidades reais, devendo as quantidades de serviços serem suprimidos ou acrescidas conforme tenham sido estimadas a maior ou a menor na planilha de serviços.</w:t>
      </w:r>
    </w:p>
    <w:p>
      <w:pPr>
        <w:pStyle w:val="Normal1"/>
        <w:widowControl w:val="false"/>
        <w:pBdr>
          <w:top w:val="single" w:sz="4" w:space="1" w:color="000000"/>
          <w:left w:val="single" w:sz="4" w:space="4" w:color="000000"/>
          <w:bottom w:val="single" w:sz="4" w:space="1" w:color="000000"/>
          <w:right w:val="single" w:sz="4" w:space="4" w:color="000000"/>
        </w:pBdr>
        <w:shd w:val="clear" w:fill="FFFF00"/>
        <w:tabs>
          <w:tab w:val="clear" w:pos="720"/>
          <w:tab w:val="left" w:pos="0" w:leader="none"/>
        </w:tabs>
        <w:spacing w:lineRule="auto" w:line="240" w:before="57" w:after="0"/>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hd w:val="clear" w:fill="FFFFFF"/>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6.2.3</w:t>
      </w:r>
      <w:r>
        <w:rPr>
          <w:rFonts w:eastAsia="Arial" w:cs="Arial" w:ascii="Arial" w:hAnsi="Arial"/>
          <w:b w:val="false"/>
          <w:i w:val="false"/>
          <w:caps w:val="false"/>
          <w:smallCaps w:val="false"/>
          <w:strike w:val="false"/>
          <w:dstrike w:val="false"/>
          <w:position w:val="0"/>
          <w:sz w:val="20"/>
          <w:sz w:val="20"/>
          <w:szCs w:val="20"/>
          <w:vertAlign w:val="baseline"/>
        </w:rPr>
        <w:t>. O cronograma físico-financeiro prevê parcelas a cada 30 (trinta) dias, mantendo coerência técnica a com a real execução dos serviços relativos a cada parcela.</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8"/>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30</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O cronograma poderá prever prazo menor para a primeira, para a última parcela e para casos especiais autorizados pela autoridade competente.</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6.2.4</w:t>
      </w:r>
      <w:r>
        <w:rPr>
          <w:rFonts w:eastAsia="Arial" w:cs="Arial" w:ascii="Arial" w:hAnsi="Arial"/>
          <w:b w:val="false"/>
          <w:i w:val="false"/>
          <w:caps w:val="false"/>
          <w:smallCaps w:val="false"/>
          <w:strike w:val="false"/>
          <w:dstrike w:val="false"/>
          <w:position w:val="0"/>
          <w:sz w:val="20"/>
          <w:sz w:val="20"/>
          <w:szCs w:val="20"/>
          <w:vertAlign w:val="baseline"/>
        </w:rPr>
        <w:t>.O cronograma físico-financeiro referencial do planejamento adequado da obra será estabelecido pelo CONTRATANTE, podendo o CONTRATADO adequá-lo, sujeito à aprovação do CONTRATANTE.</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6.2.5</w:t>
      </w:r>
      <w:r>
        <w:rPr>
          <w:rFonts w:eastAsia="Arial" w:cs="Arial" w:ascii="Arial" w:hAnsi="Arial"/>
          <w:b w:val="false"/>
          <w:i w:val="false"/>
          <w:caps w:val="false"/>
          <w:smallCaps w:val="false"/>
          <w:strike w:val="false"/>
          <w:dstrike w:val="false"/>
          <w:position w:val="0"/>
          <w:sz w:val="20"/>
          <w:sz w:val="20"/>
          <w:szCs w:val="20"/>
          <w:vertAlign w:val="baseline"/>
        </w:rPr>
        <w:t>.O CONTRATANTE poderá determinar alterações, de forma motivada, no cronograma físico-financeiro mediante autorização expressa de sua autoridade competente.</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6.2.6</w:t>
      </w:r>
      <w:r>
        <w:rPr>
          <w:rFonts w:eastAsia="Arial" w:cs="Arial" w:ascii="Arial" w:hAnsi="Arial"/>
          <w:b w:val="false"/>
          <w:i w:val="false"/>
          <w:caps w:val="false"/>
          <w:smallCaps w:val="false"/>
          <w:strike w:val="false"/>
          <w:dstrike w:val="false"/>
          <w:position w:val="0"/>
          <w:sz w:val="20"/>
          <w:sz w:val="20"/>
          <w:szCs w:val="20"/>
          <w:vertAlign w:val="baseline"/>
        </w:rPr>
        <w:t>.A revisão do cronograma físico-financeiro, quando necessária, constitui responsabilidade do CONTRATADO, cabendo ao CONTRATANTE autorizar a sua readequação, desde que motivada e justificada por fatos supervenientes não imputáveis ao CONTRATADO.</w:t>
      </w:r>
    </w:p>
    <w:p>
      <w:pPr>
        <w:pStyle w:val="Normal1"/>
        <w:widowControl w:val="false"/>
        <w:shd w:val="clear" w:fill="FFFFFF"/>
        <w:tabs>
          <w:tab w:val="clear" w:pos="720"/>
          <w:tab w:val="left" w:pos="2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6.2.7</w:t>
      </w:r>
      <w:r>
        <w:rPr>
          <w:rFonts w:eastAsia="Arial" w:cs="Arial" w:ascii="Arial" w:hAnsi="Arial"/>
          <w:b w:val="false"/>
          <w:i w:val="false"/>
          <w:caps w:val="false"/>
          <w:smallCaps w:val="false"/>
          <w:strike w:val="false"/>
          <w:dstrike w:val="false"/>
          <w:position w:val="0"/>
          <w:sz w:val="20"/>
          <w:sz w:val="20"/>
          <w:szCs w:val="20"/>
          <w:vertAlign w:val="baseline"/>
        </w:rPr>
        <w:t>. Em caso de alterações na ordem de execução dos serviços constantes da planilha, de forma que o valor da etapa objeto da medição não ultrapasse aquele já estabelecido no cronograma físico-financeiro vigente para a referida etapa, mediante parecer favorável do fiscal do serviço, o cronograma físico-financeiro poderá ser readequado, por meio de simples apostila a ser anexada a este Contrato.</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6.3</w:t>
      </w:r>
      <w:r>
        <w:rPr>
          <w:rFonts w:eastAsia="Arial" w:cs="Arial" w:ascii="Arial" w:hAnsi="Arial"/>
          <w:b w:val="false"/>
          <w:i w:val="false"/>
          <w:caps w:val="false"/>
          <w:smallCaps w:val="false"/>
          <w:strike w:val="false"/>
          <w:dstrike w:val="false"/>
          <w:position w:val="0"/>
          <w:sz w:val="20"/>
          <w:sz w:val="20"/>
          <w:szCs w:val="20"/>
          <w:vertAlign w:val="baseline"/>
        </w:rPr>
        <w:t xml:space="preserve"> A solicitação de aditivo de prazo de execução, suspensão do contrato, assim como de acréscimos ou supressões de serviços deverá ser realizada no prazo de execução do contrato; e aditivo à vigência contratual deverá ser solicitado durante a vigência do contrato, aplicando-se ao art. 111 da Lei nº 14.133/2021 e art. 410 do Decreto Estadual nº 10.086/2022 quando a </w:t>
      </w:r>
      <w:r>
        <w:rPr>
          <w:rFonts w:eastAsia="Arial" w:cs="Arial" w:ascii="Arial" w:hAnsi="Arial"/>
          <w:b w:val="false"/>
          <w:i w:val="false"/>
          <w:caps w:val="false"/>
          <w:smallCaps w:val="false"/>
          <w:strike w:val="false"/>
          <w:dstrike w:val="false"/>
          <w:color w:val="000000"/>
          <w:position w:val="0"/>
          <w:sz w:val="20"/>
          <w:sz w:val="20"/>
          <w:szCs w:val="20"/>
          <w:vertAlign w:val="baseline"/>
        </w:rPr>
        <w:t>contratação previr a conclusão de escopo predefinido.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6.3.1. </w:t>
      </w:r>
      <w:r>
        <w:rPr>
          <w:rFonts w:eastAsia="Arial" w:cs="Arial" w:ascii="Arial" w:hAnsi="Arial"/>
          <w:b w:val="false"/>
          <w:i w:val="false"/>
          <w:caps w:val="false"/>
          <w:smallCaps w:val="false"/>
          <w:strike w:val="false"/>
          <w:dstrike w:val="false"/>
          <w:position w:val="0"/>
          <w:sz w:val="20"/>
          <w:sz w:val="20"/>
          <w:szCs w:val="20"/>
          <w:vertAlign w:val="baseline"/>
        </w:rPr>
        <w:t>As solicitações de aditivos devem vir acompanhadas de parecer técnico conclusivo emitido pela fiscalização, analisadas pelo gestor do contrato e previamente autorizadas pelo representante legal do CONTRATANTE.</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6.3.2. </w:t>
      </w:r>
      <w:r>
        <w:rPr>
          <w:rFonts w:eastAsia="Arial" w:cs="Arial" w:ascii="Arial" w:hAnsi="Arial"/>
          <w:b w:val="false"/>
          <w:i w:val="false"/>
          <w:caps w:val="false"/>
          <w:smallCaps w:val="false"/>
          <w:strike w:val="false"/>
          <w:dstrike w:val="false"/>
          <w:position w:val="0"/>
          <w:sz w:val="20"/>
          <w:sz w:val="20"/>
          <w:szCs w:val="20"/>
          <w:vertAlign w:val="baseline"/>
        </w:rPr>
        <w:t>Os acréscimos e supressões de serviços quantificados, a serem formalizados por termo aditivo, deverão ser planilhados com a indicação dos serviços a serem suprimidos e serviços a serem acrescidos, na forma do subitem 6.4.3 e do item 17.6 e seus subitens deste Contrato sujeita à aprovação da autoridade competente do CONTRATANTE, após análise do gestor do contrato.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6.3.3</w:t>
      </w:r>
      <w:r>
        <w:rPr>
          <w:rFonts w:eastAsia="Arial" w:cs="Arial" w:ascii="Arial" w:hAnsi="Arial"/>
          <w:b w:val="false"/>
          <w:i w:val="false"/>
          <w:caps w:val="false"/>
          <w:smallCaps w:val="false"/>
          <w:strike w:val="false"/>
          <w:dstrike w:val="false"/>
          <w:position w:val="0"/>
          <w:sz w:val="20"/>
          <w:sz w:val="20"/>
          <w:szCs w:val="20"/>
          <w:vertAlign w:val="baseline"/>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pPr>
        <w:pStyle w:val="Normal1"/>
        <w:widowControl w:val="false"/>
        <w:shd w:val="clear" w:fill="FFFFFF"/>
        <w:tabs>
          <w:tab w:val="clear" w:pos="720"/>
          <w:tab w:val="left" w:pos="-720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49"/>
        <w:tblW w:w="9072" w:type="dxa"/>
        <w:jc w:val="left"/>
        <w:tblInd w:w="-55" w:type="dxa"/>
        <w:tblLayout w:type="fixed"/>
        <w:tblCellMar>
          <w:top w:w="0" w:type="dxa"/>
          <w:left w:w="108" w:type="dxa"/>
          <w:bottom w:w="0" w:type="dxa"/>
          <w:right w:w="108" w:type="dxa"/>
        </w:tblCellMar>
        <w:tblLook w:val="0000"/>
      </w:tblPr>
      <w:tblGrid>
        <w:gridCol w:w="9072"/>
      </w:tblGrid>
      <w:tr>
        <w:trPr/>
        <w:tc>
          <w:tcPr>
            <w:tcW w:w="9072"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0" w:after="0"/>
              <w:ind w:right="-1"/>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O item </w:t>
            </w:r>
            <w:r>
              <w:rPr>
                <w:rFonts w:eastAsia="Arial" w:cs="Arial" w:ascii="Arial" w:hAnsi="Arial"/>
                <w:b/>
                <w:i w:val="false"/>
                <w:caps w:val="false"/>
                <w:smallCaps w:val="false"/>
                <w:strike w:val="false"/>
                <w:dstrike w:val="false"/>
                <w:position w:val="0"/>
                <w:sz w:val="20"/>
                <w:sz w:val="20"/>
                <w:szCs w:val="20"/>
                <w:highlight w:val="yellow"/>
                <w:vertAlign w:val="baseline"/>
              </w:rPr>
              <w:t>6.4</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seguir e seus subitens só devem constar no contrato se o regime de empreitada for Por Preço Global:</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00"/>
              <w:tabs>
                <w:tab w:val="clear" w:pos="720"/>
                <w:tab w:val="left" w:pos="-72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w:t>
            </w:r>
            <w:r>
              <w:rPr>
                <w:rFonts w:eastAsia="Arial" w:cs="Arial" w:ascii="Arial" w:hAnsi="Arial"/>
                <w:b w:val="false"/>
                <w:i w:val="false"/>
                <w:caps w:val="false"/>
                <w:smallCaps w:val="false"/>
                <w:strike w:val="false"/>
                <w:dstrike w:val="false"/>
                <w:position w:val="0"/>
                <w:sz w:val="20"/>
                <w:sz w:val="20"/>
                <w:szCs w:val="20"/>
                <w:vertAlign w:val="baseline"/>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pPr>
              <w:pStyle w:val="Normal1"/>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6.4.1.</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em que forem encontrados erros de pequena relevância, relativos a pequenas variações de quantitativos em seus serviços, será pago exatamente o preço global acordado;</w:t>
            </w:r>
          </w:p>
          <w:p>
            <w:pPr>
              <w:pStyle w:val="Normal1"/>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6.4.2.</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em que forem encontrados erros ou omissões substanciais, subestimativas ou superestimativas relevantes, poderão ser ajustados termos aditivos excepcionalmente, desde que os seguintes requisitos sejam atendidos cumulativamente:</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somente serão considerados como erros substanciais ou relevantes e objetos de revisão, os serviços de materialidade relevante na curva ABC do orçamento, compreendidos dentro da Faixa A e Faixa B, cuja somatória acumulada dos custos representa 80% (oitenta por cento) do custo total;</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somente serão considerados como erros substanciais ou relevantes e objetos de revisão, os erros unitários de quantitativo acima de 10% (dez por cento).</w:t>
            </w:r>
          </w:p>
          <w:p>
            <w:pPr>
              <w:pStyle w:val="Normal1"/>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6.4.3.</w:t>
            </w:r>
            <w:r>
              <w:rPr>
                <w:rFonts w:eastAsia="Arial" w:cs="Arial" w:ascii="Arial" w:hAnsi="Arial"/>
                <w:b w:val="false"/>
                <w:i w:val="false"/>
                <w:caps w:val="false"/>
                <w:smallCaps w:val="false"/>
                <w:strike w:val="false"/>
                <w:dstrike w:val="false"/>
                <w:position w:val="0"/>
                <w:sz w:val="20"/>
                <w:sz w:val="20"/>
                <w:szCs w:val="20"/>
                <w:vertAlign w:val="baseline"/>
              </w:rPr>
              <w:t xml:space="preserve"> Nos casos de quantitativos com relevantes subestimativas no orçamento, o contrato poderá ser aditado se demonstrada a razoabilidade do pedido de aditivo, devendo ser atendidos cumulativamente os seguintes requisitos:</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 alteração contratual deverá manter a proporcionalidade da diferença entre o valor global estimado pela Administração e o valor global contratado;</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a alteração contratual, em análise global, não deve ultrapassar a 10% (dez por cento) do valor total do contrato, computando-se esse percentual para verificação dos limites previstos no art. 125 da Lei Federal nº 14.133, de 2021;</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o novo serviço incluído no contrato ou a quantidade acrescida no serviço cujo quantitativo foi originalmente subestimado não são compensados por eventuais distorções a maior nos quantitativos de outros serviços que favoreçam o contratado;</w:t>
            </w:r>
          </w:p>
          <w:p>
            <w:pPr>
              <w:pStyle w:val="Normal1"/>
              <w:widowControl w:val="false"/>
              <w:shd w:val="clear" w:fill="FFFF00"/>
              <w:tabs>
                <w:tab w:val="clear" w:pos="720"/>
                <w:tab w:val="left" w:pos="-1080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6.4.4.</w:t>
            </w:r>
            <w:r>
              <w:rPr>
                <w:rFonts w:eastAsia="Arial" w:cs="Arial" w:ascii="Arial" w:hAnsi="Arial"/>
                <w:b w:val="false"/>
                <w:i w:val="false"/>
                <w:caps w:val="false"/>
                <w:smallCaps w:val="false"/>
                <w:strike w:val="false"/>
                <w:dstrike w:val="false"/>
                <w:position w:val="0"/>
                <w:sz w:val="20"/>
                <w:sz w:val="20"/>
                <w:szCs w:val="20"/>
                <w:vertAlign w:val="baseline"/>
              </w:rPr>
              <w:t xml:space="preserve"> Em caso de quantitativos superestimados relevantes no orçamento, eventuais pleitos do CONTRATADO para não redução dos valores contratados poderão ser atendidos de forma excepcionalíssima, desde que preenchidos, cumulativamente, os seguintes requisitos:</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w:t>
            </w:r>
          </w:p>
          <w:p>
            <w:pPr>
              <w:pStyle w:val="Normal1"/>
              <w:shd w:val="clear" w:fill="FFFF00"/>
              <w:spacing w:lineRule="auto" w:line="240" w:before="57" w:after="0"/>
              <w:ind w:hanging="0" w:left="113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a alteração do contrato de forma a reduzir os quantitativos daquele item inviabilizaria a execução contratual, devendo ser demonstrado que o valor a ser reduzido supere a remuneração e as contingências detalhadas na composição do BDI apresentado pelo contratado, bem como os montantes originados de eventuais distorções a maior existentes nos custos obtidos em sistemas referenciais da Administração Pública (efeitos cotação e barganha) que não foram eliminados no processo licitatório.</w:t>
            </w:r>
          </w:p>
          <w:p>
            <w:pPr>
              <w:pStyle w:val="Normal1"/>
              <w:shd w:val="clear" w:fill="FFFF00"/>
              <w:spacing w:lineRule="auto" w:line="240" w:before="0"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shd w:val="clear" w:fill="FFFFFF"/>
        <w:tabs>
          <w:tab w:val="clear" w:pos="720"/>
          <w:tab w:val="left" w:pos="-720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6.5</w:t>
      </w:r>
      <w:r>
        <w:rPr>
          <w:rFonts w:eastAsia="Arial" w:cs="Arial" w:ascii="Arial" w:hAnsi="Arial"/>
          <w:b w:val="false"/>
          <w:i w:val="false"/>
          <w:caps w:val="false"/>
          <w:smallCaps w:val="false"/>
          <w:strike w:val="false"/>
          <w:dstrike w:val="false"/>
          <w:position w:val="0"/>
          <w:sz w:val="20"/>
          <w:sz w:val="20"/>
          <w:szCs w:val="20"/>
          <w:vertAlign w:val="baseline"/>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dos serviços e permitirão gerenciar as responsabilidades por tarefas específicas. As atas serão lavradas e assinadas pelos participantes.</w:t>
      </w:r>
    </w:p>
    <w:p>
      <w:pPr>
        <w:pStyle w:val="Normal1"/>
        <w:widowControl w:val="false"/>
        <w:shd w:val="clear" w:fill="FFFFFF"/>
        <w:tabs>
          <w:tab w:val="clear" w:pos="720"/>
          <w:tab w:val="left" w:pos="-7200" w:leader="none"/>
        </w:tabs>
        <w:spacing w:lineRule="auto" w:line="240" w:before="57" w:after="57"/>
        <w:rPr>
          <w:rFonts w:ascii="Arial" w:hAnsi="Arial"/>
          <w:position w:val="0"/>
          <w:sz w:val="20"/>
          <w:sz w:val="20"/>
          <w:szCs w:val="20"/>
          <w:vertAlign w:val="baseline"/>
        </w:rPr>
      </w:pPr>
      <w:r>
        <w:rPr>
          <w:rFonts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7. CLÁUSULA SÉTIMA – DA QUALIDADE E RENDIMENTO</w:t>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CONTRATADO deverá apresentar para aprovação do CONTRATANTE, quando requerida,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7.1.1. </w:t>
      </w:r>
      <w:r>
        <w:rPr>
          <w:rFonts w:eastAsia="Arial" w:cs="Arial" w:ascii="Arial" w:hAnsi="Arial"/>
          <w:b w:val="false"/>
          <w:i w:val="false"/>
          <w:caps w:val="false"/>
          <w:smallCaps w:val="false"/>
          <w:strike w:val="false"/>
          <w:dstrike w:val="false"/>
          <w:position w:val="0"/>
          <w:sz w:val="20"/>
          <w:sz w:val="20"/>
          <w:szCs w:val="20"/>
          <w:vertAlign w:val="baseline"/>
        </w:rPr>
        <w:t>Os materiais a serem empregados nas obras e nos serviços de engenharia e arquitetura executados deverão obedecer, rigorosamente:</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e especificações constantes nos elementos técnicos instrutores referentes à respectiva licitação;</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do CONTRATANTE;</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às normas da ABNT;</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disposições legais da União, do Estado do Paraná e do Município onde ser será executado o objeto;</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aos regulamentos das empresas concessionárias;</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prescrições e recomendações dos fabricantes;</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internacionais consagradas, na falta das normas da ABNT;</w:t>
      </w:r>
    </w:p>
    <w:p>
      <w:pPr>
        <w:pStyle w:val="Normal1"/>
        <w:numPr>
          <w:ilvl w:val="0"/>
          <w:numId w:val="9"/>
        </w:numPr>
        <w:shd w:val="clear" w:fill="FFFFFF"/>
        <w:tabs>
          <w:tab w:val="clear" w:pos="720"/>
          <w:tab w:val="left" w:pos="798"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às normas regulamentadoras do Ministério do Trabalho.</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7.2</w:t>
      </w:r>
      <w:r>
        <w:rPr>
          <w:rFonts w:eastAsia="Arial" w:cs="Arial" w:ascii="Arial" w:hAnsi="Arial"/>
          <w:b w:val="false"/>
          <w:i w:val="false"/>
          <w:caps w:val="false"/>
          <w:smallCaps w:val="false"/>
          <w:strike w:val="false"/>
          <w:dstrike w:val="false"/>
          <w:position w:val="0"/>
          <w:sz w:val="20"/>
          <w:sz w:val="20"/>
          <w:szCs w:val="20"/>
          <w:vertAlign w:val="baseline"/>
        </w:rPr>
        <w:t xml:space="preserve"> O CONTRATADO, para execução das obras ou serviços, ficará obrigada, a qualquer tempo e às suas expensas, a realizar análises, exames, ensaios, pesquisas ou testes necessários à comprovação da qualidade e procedência dos materiais a serem empregados nas obras ou serviços.</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7.3</w:t>
      </w:r>
      <w:r>
        <w:rPr>
          <w:rFonts w:eastAsia="Arial" w:cs="Arial" w:ascii="Arial" w:hAnsi="Arial"/>
          <w:b w:val="false"/>
          <w:i w:val="false"/>
          <w:caps w:val="false"/>
          <w:smallCaps w:val="false"/>
          <w:strike w:val="false"/>
          <w:dstrike w:val="false"/>
          <w:position w:val="0"/>
          <w:sz w:val="20"/>
          <w:sz w:val="20"/>
          <w:szCs w:val="20"/>
          <w:vertAlign w:val="baseline"/>
        </w:rPr>
        <w:t xml:space="preserve"> Os trabalhos mencionados no item 7.2 deverão ser desenvolvidos por laboratórios especializados aprovados pelo CONTRATANTE, para efetivo controle de qualidade dos materiais, tornando-se obrigatória a apresentação por parte do CONTRATADO do Certificado de Análise.</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7.4</w:t>
      </w:r>
      <w:r>
        <w:rPr>
          <w:rFonts w:eastAsia="Arial" w:cs="Arial" w:ascii="Arial" w:hAnsi="Arial"/>
          <w:b w:val="false"/>
          <w:i w:val="false"/>
          <w:caps w:val="false"/>
          <w:smallCaps w:val="false"/>
          <w:strike w:val="false"/>
          <w:dstrike w:val="false"/>
          <w:position w:val="0"/>
          <w:sz w:val="20"/>
          <w:sz w:val="20"/>
          <w:szCs w:val="20"/>
          <w:vertAlign w:val="baseline"/>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do emprego do mesmo, bem como exigindo a retirada daqueles que foram empregados, a contar do momento da recusa, sem ônus para o CONTRATANTE.</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7.5</w:t>
      </w:r>
      <w:r>
        <w:rPr>
          <w:rFonts w:eastAsia="Arial" w:cs="Arial" w:ascii="Arial" w:hAnsi="Arial"/>
          <w:b w:val="false"/>
          <w:i w:val="false"/>
          <w:caps w:val="false"/>
          <w:smallCaps w:val="false"/>
          <w:strike w:val="false"/>
          <w:dstrike w:val="false"/>
          <w:position w:val="0"/>
          <w:sz w:val="20"/>
          <w:sz w:val="20"/>
          <w:szCs w:val="20"/>
          <w:vertAlign w:val="baseline"/>
        </w:rPr>
        <w:t xml:space="preserve"> A responsabilidade pelo fornecimento em tempo hábil dos materiais será do CONTRATADO, não podendo esta solicitar prorrogações de prazo, nem justificar retardamento da conclusão dos serviços em decorrência do fornecimento deficiente de materiais.</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7.6 </w:t>
      </w:r>
      <w:r>
        <w:rPr>
          <w:rFonts w:eastAsia="Arial" w:cs="Arial" w:ascii="Arial" w:hAnsi="Arial"/>
          <w:b w:val="false"/>
          <w:i w:val="false"/>
          <w:caps w:val="false"/>
          <w:smallCaps w:val="false"/>
          <w:strike w:val="false"/>
          <w:dstrike w:val="false"/>
          <w:position w:val="0"/>
          <w:sz w:val="20"/>
          <w:sz w:val="20"/>
          <w:szCs w:val="20"/>
          <w:vertAlign w:val="baseline"/>
        </w:rPr>
        <w:t>Para a execução eficiente dos serviços, o CONTRATADO somente deverá empregar nas obras ou serviços de engenharia e arquitetura pessoal competente e qualificado.</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7.7</w:t>
      </w:r>
      <w:r>
        <w:rPr>
          <w:rFonts w:eastAsia="Arial" w:cs="Arial" w:ascii="Arial" w:hAnsi="Arial"/>
          <w:b w:val="false"/>
          <w:i w:val="false"/>
          <w:caps w:val="false"/>
          <w:smallCaps w:val="false"/>
          <w:strike w:val="false"/>
          <w:dstrike w:val="false"/>
          <w:position w:val="0"/>
          <w:sz w:val="20"/>
          <w:sz w:val="20"/>
          <w:szCs w:val="20"/>
          <w:vertAlign w:val="baseline"/>
        </w:rPr>
        <w:t xml:space="preserve"> A aceitação dos equipamentos para a execução da obra ou serviços por parte do CONTRATANTE, casos os referidos equipamentos se revelem insuficientes e sem condições, não dá ao CONTRATADO razões para invocar a sua inadequação no atraso do cumprimento dos prazos e cronogramas de execução.</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7.8</w:t>
      </w:r>
      <w:r>
        <w:rPr>
          <w:rFonts w:eastAsia="Arial" w:cs="Arial" w:ascii="Arial" w:hAnsi="Arial"/>
          <w:b w:val="false"/>
          <w:i w:val="false"/>
          <w:caps w:val="false"/>
          <w:smallCaps w:val="false"/>
          <w:strike w:val="false"/>
          <w:dstrike w:val="false"/>
          <w:position w:val="0"/>
          <w:sz w:val="20"/>
          <w:sz w:val="20"/>
          <w:szCs w:val="20"/>
          <w:vertAlign w:val="baseline"/>
        </w:rPr>
        <w:t xml:space="preserve"> A limpeza e perfeita organização do canteiro de obras constituem obrigação do CONTRATADO, assim como a limpeza do local após a conclusão dos trabalhos.</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7.9</w:t>
      </w:r>
      <w:r>
        <w:rPr>
          <w:rFonts w:eastAsia="Arial" w:cs="Arial" w:ascii="Arial" w:hAnsi="Arial"/>
          <w:b w:val="false"/>
          <w:i w:val="false"/>
          <w:caps w:val="false"/>
          <w:smallCaps w:val="false"/>
          <w:strike w:val="false"/>
          <w:dstrike w:val="false"/>
          <w:position w:val="0"/>
          <w:sz w:val="20"/>
          <w:sz w:val="20"/>
          <w:szCs w:val="20"/>
          <w:vertAlign w:val="baseline"/>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Poderão, ainda, ser solicitados pela fiscalização, amostras de produtos, especificações e laudos técnicos.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7.9.1</w:t>
      </w:r>
      <w:r>
        <w:rPr>
          <w:rFonts w:eastAsia="Arial" w:cs="Arial" w:ascii="Arial" w:hAnsi="Arial"/>
          <w:b w:val="false"/>
          <w:i w:val="false"/>
          <w:caps w:val="false"/>
          <w:smallCaps w:val="false"/>
          <w:strike w:val="false"/>
          <w:dstrike w:val="false"/>
          <w:position w:val="0"/>
          <w:sz w:val="20"/>
          <w:sz w:val="20"/>
          <w:szCs w:val="20"/>
          <w:vertAlign w:val="baseline"/>
        </w:rPr>
        <w:t xml:space="preserve"> A equivalência indicada, que deverá ser avaliada antes do fornecimento efetivo, é em relação ao atendimento aos requisitos e critérios mínimos de desempenho especificados e normatizados, coincidência de aspectos visuais (aparência/acabamento), de materiais de fabricação, de funcionalidade e de ergonomia.</w:t>
      </w:r>
    </w:p>
    <w:p>
      <w:pPr>
        <w:pStyle w:val="Normal1"/>
        <w:widowControl w:val="false"/>
        <w:shd w:val="clear" w:fill="FFFFFF"/>
        <w:tabs>
          <w:tab w:val="clear" w:pos="720"/>
          <w:tab w:val="left" w:pos="-7200" w:leader="none"/>
          <w:tab w:val="left" w:pos="-6066"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7.10.</w:t>
      </w:r>
      <w:r>
        <w:rPr>
          <w:rFonts w:eastAsia="Arial" w:cs="Arial" w:ascii="Arial" w:hAnsi="Arial"/>
          <w:b w:val="false"/>
          <w:i w:val="false"/>
          <w:caps w:val="false"/>
          <w:smallCaps w:val="false"/>
          <w:strike w:val="false"/>
          <w:dstrike w:val="false"/>
          <w:position w:val="0"/>
          <w:sz w:val="20"/>
          <w:sz w:val="20"/>
          <w:szCs w:val="20"/>
          <w:vertAlign w:val="baseline"/>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pPr>
        <w:pStyle w:val="Normal1"/>
        <w:widowControl w:val="false"/>
        <w:shd w:val="clear" w:fill="FFFFFF"/>
        <w:tabs>
          <w:tab w:val="clear" w:pos="720"/>
          <w:tab w:val="left" w:pos="0" w:leader="none"/>
          <w:tab w:val="left" w:pos="1134"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 CLÁUSULA OITAVA – DO PREÇO</w:t>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8.1</w:t>
      </w:r>
      <w:r>
        <w:rPr>
          <w:rFonts w:eastAsia="Arial" w:cs="Arial" w:ascii="Arial" w:hAnsi="Arial"/>
          <w:b/>
          <w:i w:val="false"/>
          <w:caps w:val="false"/>
          <w:smallCaps w:val="false"/>
          <w:strike w:val="false"/>
          <w:dstrike w:val="false"/>
          <w:color w:val="FF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A Tabela Oficial de Referência de Custos Unitários, adotada pelo Estado do Paraná, praticada pelo CONTRATANTE, corresponde a custos de materiais e mão de obra, inclusive encargos sociais e trabalhistas.</w:t>
      </w:r>
    </w:p>
    <w:p>
      <w:pPr>
        <w:pStyle w:val="Normal1"/>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Para o critério de julgamento de MAIOR DESCONTO deverá ser utilizada a seguinte redação:</w:t>
            </w:r>
          </w:p>
          <w:p>
            <w:pPr>
              <w:pStyle w:val="Normal1"/>
              <w:widowControl w:val="false"/>
              <w:shd w:val="clear" w:fill="FFFF00"/>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8.2.</w:t>
            </w:r>
            <w:r>
              <w:rPr>
                <w:rFonts w:eastAsia="Arial" w:cs="Arial" w:ascii="Arial" w:hAnsi="Arial"/>
                <w:b w:val="false"/>
                <w:i w:val="false"/>
                <w:caps w:val="false"/>
                <w:smallCaps w:val="false"/>
                <w:strike w:val="false"/>
                <w:dstrike w:val="false"/>
                <w:position w:val="0"/>
                <w:sz w:val="20"/>
                <w:sz w:val="20"/>
                <w:szCs w:val="20"/>
                <w:vertAlign w:val="baseline"/>
              </w:rPr>
              <w:t xml:space="preserve"> O percentual de desconto oferecido pelo CONTRATADO incidirá uniformemente, de forma linear, sobre todos os preços constantes da planilha de quantidades e preços fornecidos pelo CONTRATANTE;</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Se a licitação for pelo critério de julgamento de MENOR PREÇO, a redação do item 8.2, acrescido do subitem 8.2.1, deverá ser a seguinte:</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8.2</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planilha orçamentária deve observar o critério de aceitabilidade de preços unitários e global que foi fixado no edital.</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yellow"/>
                <w:vertAlign w:val="baseline"/>
              </w:rPr>
              <w:t>8.2.1</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 A diferença percentual entre o valor global do contrato e o preço global de referência não poderá ser reduzida em favor do contratado em decorrência de aditamentos que modifiquem a planilha orçamentária.</w:t>
            </w:r>
          </w:p>
        </w:tc>
      </w:tr>
    </w:tbl>
    <w:p>
      <w:pPr>
        <w:pStyle w:val="Normal1"/>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w:t>
      </w:r>
      <w:r>
        <w:rPr>
          <w:rFonts w:eastAsia="Arial" w:cs="Arial" w:ascii="Arial" w:hAnsi="Arial"/>
          <w:b w:val="false"/>
          <w:i w:val="false"/>
          <w:caps w:val="false"/>
          <w:smallCaps w:val="false"/>
          <w:strike w:val="false"/>
          <w:dstrike w:val="false"/>
          <w:position w:val="0"/>
          <w:sz w:val="20"/>
          <w:sz w:val="20"/>
          <w:szCs w:val="20"/>
          <w:vertAlign w:val="baseline"/>
        </w:rPr>
        <w:t xml:space="preserve"> Os preços, unitário e global, estabelecidos nos contratos incluem todos os custos necessários à perfeita execução do seu objeto, englobando, mas não se limitando, aos itens principais seguintes: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w:t>
      </w:r>
      <w:r>
        <w:rPr>
          <w:rFonts w:eastAsia="Arial" w:cs="Arial" w:ascii="Arial" w:hAnsi="Arial"/>
          <w:b w:val="false"/>
          <w:i w:val="false"/>
          <w:caps w:val="false"/>
          <w:smallCaps w:val="false"/>
          <w:strike w:val="false"/>
          <w:dstrike w:val="false"/>
          <w:position w:val="0"/>
          <w:sz w:val="20"/>
          <w:sz w:val="20"/>
          <w:szCs w:val="20"/>
          <w:vertAlign w:val="baseline"/>
        </w:rPr>
        <w:t xml:space="preserve"> Todos os materiais, inclusive transporte até o local das obras ou serviços;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8.3.2. </w:t>
      </w:r>
      <w:r>
        <w:rPr>
          <w:rFonts w:eastAsia="Arial" w:cs="Arial" w:ascii="Arial" w:hAnsi="Arial"/>
          <w:b w:val="false"/>
          <w:i w:val="false"/>
          <w:caps w:val="false"/>
          <w:smallCaps w:val="false"/>
          <w:strike w:val="false"/>
          <w:dstrike w:val="false"/>
          <w:position w:val="0"/>
          <w:sz w:val="20"/>
          <w:sz w:val="20"/>
          <w:szCs w:val="20"/>
          <w:vertAlign w:val="baseline"/>
        </w:rPr>
        <w:t>Toda a mão de obra, especializada ou não;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8.3.3</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com equipamentos, telefonia, energia, água e saneamento;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8.3.4</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com profissionais, consultores, técnicos, desenhistas, encarregados, topógrafos, ou seja, todo o pessoal necessário a direção, execução, controle e administração;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8.3.5 </w:t>
      </w:r>
      <w:r>
        <w:rPr>
          <w:rFonts w:eastAsia="Arial" w:cs="Arial" w:ascii="Arial" w:hAnsi="Arial"/>
          <w:b w:val="false"/>
          <w:i w:val="false"/>
          <w:caps w:val="false"/>
          <w:smallCaps w:val="false"/>
          <w:strike w:val="false"/>
          <w:dstrike w:val="false"/>
          <w:position w:val="0"/>
          <w:sz w:val="20"/>
          <w:sz w:val="20"/>
          <w:szCs w:val="20"/>
          <w:vertAlign w:val="baseline"/>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8.3.6.</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8.3.7</w:t>
      </w:r>
      <w:r>
        <w:rPr>
          <w:rFonts w:eastAsia="Arial" w:cs="Arial" w:ascii="Arial" w:hAnsi="Arial"/>
          <w:b w:val="false"/>
          <w:i w:val="false"/>
          <w:caps w:val="false"/>
          <w:smallCaps w:val="false"/>
          <w:strike w:val="false"/>
          <w:dstrike w:val="false"/>
          <w:position w:val="0"/>
          <w:sz w:val="20"/>
          <w:sz w:val="20"/>
          <w:szCs w:val="20"/>
          <w:vertAlign w:val="baseline"/>
        </w:rPr>
        <w:t xml:space="preserve"> Custos com a execução, manutenção e retirada de todas as instalações provisórias necessárias à execução das obras ou serviços;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8.3.8</w:t>
      </w:r>
      <w:r>
        <w:rPr>
          <w:rFonts w:eastAsia="Arial" w:cs="Arial" w:ascii="Arial" w:hAnsi="Arial"/>
          <w:b w:val="false"/>
          <w:i w:val="false"/>
          <w:caps w:val="false"/>
          <w:smallCaps w:val="false"/>
          <w:strike w:val="false"/>
          <w:dstrike w:val="false"/>
          <w:position w:val="0"/>
          <w:sz w:val="20"/>
          <w:sz w:val="20"/>
          <w:szCs w:val="20"/>
          <w:vertAlign w:val="baseline"/>
        </w:rPr>
        <w:t xml:space="preserve"> Todos os custos com demolição ou remoção necessárias à execução do objeto ajustado;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8.3.9</w:t>
      </w:r>
      <w:r>
        <w:rPr>
          <w:rFonts w:eastAsia="Arial" w:cs="Arial" w:ascii="Arial" w:hAnsi="Arial"/>
          <w:b w:val="false"/>
          <w:i w:val="false"/>
          <w:caps w:val="false"/>
          <w:smallCaps w:val="false"/>
          <w:strike w:val="false"/>
          <w:dstrike w:val="false"/>
          <w:position w:val="0"/>
          <w:sz w:val="20"/>
          <w:sz w:val="20"/>
          <w:szCs w:val="20"/>
          <w:vertAlign w:val="baseline"/>
        </w:rPr>
        <w:t xml:space="preserve"> Todas as despesas financeiras e tributárias incidentes sobre o objeto do contrato;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8.3.10.</w:t>
      </w:r>
      <w:r>
        <w:rPr>
          <w:rFonts w:eastAsia="Arial" w:cs="Arial" w:ascii="Arial" w:hAnsi="Arial"/>
          <w:b w:val="false"/>
          <w:i w:val="false"/>
          <w:caps w:val="false"/>
          <w:smallCaps w:val="false"/>
          <w:strike w:val="false"/>
          <w:dstrike w:val="false"/>
          <w:position w:val="0"/>
          <w:sz w:val="20"/>
          <w:sz w:val="20"/>
          <w:szCs w:val="20"/>
          <w:vertAlign w:val="baseline"/>
        </w:rPr>
        <w:t xml:space="preserve"> Todas as despesas decorrentes de infração de posturas e regulamentos;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8.3.11</w:t>
      </w:r>
      <w:r>
        <w:rPr>
          <w:rFonts w:eastAsia="Arial" w:cs="Arial" w:ascii="Arial" w:hAnsi="Arial"/>
          <w:b w:val="false"/>
          <w:i w:val="false"/>
          <w:caps w:val="false"/>
          <w:smallCaps w:val="false"/>
          <w:strike w:val="false"/>
          <w:dstrike w:val="false"/>
          <w:position w:val="0"/>
          <w:sz w:val="20"/>
          <w:sz w:val="20"/>
          <w:szCs w:val="20"/>
          <w:vertAlign w:val="baseline"/>
        </w:rPr>
        <w:t>. Custos relacionados ao controle de qualidade,</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8.3.12</w:t>
      </w:r>
      <w:r>
        <w:rPr>
          <w:rFonts w:eastAsia="Arial" w:cs="Arial" w:ascii="Arial" w:hAnsi="Arial"/>
          <w:b w:val="false"/>
          <w:i w:val="false"/>
          <w:caps w:val="false"/>
          <w:smallCaps w:val="false"/>
          <w:strike w:val="false"/>
          <w:dstrike w:val="false"/>
          <w:position w:val="0"/>
          <w:sz w:val="20"/>
          <w:sz w:val="20"/>
          <w:szCs w:val="20"/>
          <w:vertAlign w:val="baseline"/>
        </w:rPr>
        <w:t>. Custos com a limpeza integral da obra ou serviços após a conclusão dos trabalhos, despesas com placas de divulgação da obra, indicação dos profissionais responsáveis e de inauguração, obedecido aos padrões de confecção e fixação.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8.3.13</w:t>
      </w:r>
      <w:r>
        <w:rPr>
          <w:rFonts w:eastAsia="Arial" w:cs="Arial" w:ascii="Arial" w:hAnsi="Arial"/>
          <w:b w:val="false"/>
          <w:i w:val="false"/>
          <w:caps w:val="false"/>
          <w:smallCaps w:val="false"/>
          <w:strike w:val="false"/>
          <w:dstrike w:val="false"/>
          <w:position w:val="0"/>
          <w:sz w:val="20"/>
          <w:sz w:val="20"/>
          <w:szCs w:val="20"/>
          <w:vertAlign w:val="baseline"/>
        </w:rPr>
        <w:t xml:space="preserve"> Custos necessários à proteção e preservação do meio ambiente;</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8.3.14. </w:t>
      </w:r>
      <w:r>
        <w:rPr>
          <w:rFonts w:eastAsia="Arial" w:cs="Arial" w:ascii="Arial" w:hAnsi="Arial"/>
          <w:b w:val="false"/>
          <w:i w:val="false"/>
          <w:caps w:val="false"/>
          <w:smallCaps w:val="false"/>
          <w:strike w:val="false"/>
          <w:dstrike w:val="false"/>
          <w:position w:val="0"/>
          <w:sz w:val="20"/>
          <w:sz w:val="20"/>
          <w:szCs w:val="20"/>
          <w:vertAlign w:val="baseline"/>
        </w:rPr>
        <w:t>Outras despesas que se revelem próprias da natureza de atividades do executor;</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33</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shd w:val="clear" w:fill="FFFF00"/>
              <w:spacing w:lineRule="auto" w:line="240" w:before="57" w:after="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yellow"/>
                <w:vertAlign w:val="baseline"/>
              </w:rPr>
              <w:t>No contrato específico de cada obra ou serviço de engenharia e arquitetura contratados, na cláusula do valor para a execução do seu objeto, deverá constar explicitamente o percentual relativo a materiais e a mão de obra.</w:t>
            </w:r>
          </w:p>
          <w:p>
            <w:pPr>
              <w:pStyle w:val="Normal1"/>
              <w:shd w:val="clear" w:fill="FFFF00"/>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widowControl w:val="false"/>
        <w:shd w:val="clear" w:fill="FFFFFF"/>
        <w:tabs>
          <w:tab w:val="clear" w:pos="720"/>
          <w:tab w:val="left" w:pos="0"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9. CLÁUSULA NONA – DOS PAGAMENTOS</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pagamento dos serviços será efetuado pela Secretaria </w:t>
      </w:r>
      <w:r>
        <w:rPr>
          <w:rFonts w:eastAsia="Arial" w:cs="Arial" w:ascii="Arial" w:hAnsi="Arial"/>
          <w:b w:val="false"/>
          <w:i w:val="false"/>
          <w:caps w:val="false"/>
          <w:smallCaps w:val="false"/>
          <w:strike w:val="false"/>
          <w:dstrike w:val="false"/>
          <w:position w:val="0"/>
          <w:sz w:val="20"/>
          <w:sz w:val="20"/>
          <w:szCs w:val="20"/>
          <w:highlight w:val="yellow"/>
          <w:vertAlign w:val="baseline"/>
        </w:rPr>
        <w:t>(ou entidade)</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xxx, situado na xxx, CNPJ N.º 00.000.000/0000-00, conforme Cronograma Físico-Financeiro aprovado, observada a Cláusula Oitava d</w:t>
      </w:r>
      <w:r>
        <w:rPr>
          <w:rFonts w:eastAsia="Arial" w:cs="Arial" w:ascii="Arial" w:hAnsi="Arial"/>
          <w:b w:val="false"/>
          <w:i w:val="false"/>
          <w:caps w:val="false"/>
          <w:smallCaps w:val="false"/>
          <w:strike w:val="false"/>
          <w:dstrike w:val="false"/>
          <w:position w:val="0"/>
          <w:sz w:val="20"/>
          <w:sz w:val="20"/>
          <w:szCs w:val="20"/>
          <w:vertAlign w:val="baseline"/>
        </w:rPr>
        <w:t>este Contrato</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9.2 </w:t>
      </w:r>
      <w:r>
        <w:rPr>
          <w:rFonts w:eastAsia="Arial" w:cs="Arial" w:ascii="Arial" w:hAnsi="Arial"/>
          <w:b w:val="false"/>
          <w:i w:val="false"/>
          <w:caps w:val="false"/>
          <w:smallCaps w:val="false"/>
          <w:strike w:val="false"/>
          <w:dstrike w:val="false"/>
          <w:position w:val="0"/>
          <w:sz w:val="20"/>
          <w:sz w:val="20"/>
          <w:szCs w:val="20"/>
          <w:highlight w:val="white"/>
          <w:vertAlign w:val="baseline"/>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9.2.1</w:t>
      </w:r>
      <w:r>
        <w:rPr>
          <w:rFonts w:eastAsia="Arial" w:cs="Arial" w:ascii="Arial" w:hAnsi="Arial"/>
          <w:b w:val="false"/>
          <w:i w:val="false"/>
          <w:caps w:val="false"/>
          <w:smallCaps w:val="false"/>
          <w:strike w:val="false"/>
          <w:dstrike w:val="false"/>
          <w:position w:val="0"/>
          <w:sz w:val="20"/>
          <w:sz w:val="20"/>
          <w:szCs w:val="20"/>
          <w:vertAlign w:val="baseline"/>
        </w:rPr>
        <w:t>. Em todas as faturas:</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Nota Fiscal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de Contrato, a respectiva data de assinatura e o número do Cadastro Específico na Receita Federal – CNO, quando couber. Será admitida a apresentação de Nota Fiscal na forma eletrônica;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a.1) Quando houver reajuste ao contrato, deverá ser apresentada nota fiscal exclusiva com o valor referente à parcela do reajuste;</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a.2) No caso de a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 ou da Receita Federal”;</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FATURA DISCRIMINATIVA – Fatura discriminativa com todos os dados da empresa, o objeto executado, a parcela conforme cronograma vigente, o valor da parcela, bem como a fonte pagadora;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b.1) quando houver reajuste ao contrato, deverá ser apresentada fatura discriminativa exclusiva com o valor referente à parcela do reajuste;</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PLANILHA DE MEDIÇÃO – Elaborada nos padrões do CONTRATANTE, de acordo com cronograma físico-financeiro, relativo à parcela faturada, de forma que os serviços e os valores faturados, correspondam aos serviços e aos respectivos índices percentuais discriminados no Relatório de Vistoria de Obras – (RVO) emitido pela Fiscalização da obra, que acompanha o processo da Fatura;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ADITIVOS DE CONTRATO – Cópias de todos os termos aditivos ao contrato, firmados até a data do faturamento, se houver;</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 CRONOGRAMA FÍSICO-FINANCEIRO – Cópia do cronograma físico-financeiro da obra, devidamente aprovado pelo CONTRATANTE;</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f) PROVA DE PAGAMENTO DO PESSOAL – Folha de pagamento ou outro comprovante de pagamento, assinado pelos funcionários e devidamente autenticada pelo fiscal ou em outra forma admitida em Lei, referente ao período de medição;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g) PROVA DE RECOLHIMENTO JUNTO AO INSTITUTO NACIONAL DE SEGURIDADE SOCIAL – INSS – Recolhimentos vinculados à Matrícula da Obra, devidamente autenticado pelo fiscal ou em outra forma admitida em Lei, e Guia de Recolhimento Social – GPS, referente ao período de medição;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h)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i) CERTIDÃO NEGATIVA DO INSS – CND – Certidão Negativa de Débitos da Empresa junto ao INSS, em plena validade;</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j) CERTIDÃO NEGATIVA DO FGTS – CRF – Certidão Negativa de Débitos da Empresa junto ao FGTS, em plena validade;</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k) CERTIDÃO NEGATIVA DE TRIBUTOS, FEDERAIS, ESTADUAIS E MUNICIPAIS DA EMPRESA, em plena validade;</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l) CERTIDÃO NEGATIVA DE DÉBITOS TRABALHISTAS – CNDT, conforme Lei nº 12.440 de 07 de julho de 2011;</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9.2.2.</w:t>
      </w:r>
      <w:r>
        <w:rPr>
          <w:rFonts w:eastAsia="Arial" w:cs="Arial" w:ascii="Arial" w:hAnsi="Arial"/>
          <w:b w:val="false"/>
          <w:i w:val="false"/>
          <w:caps w:val="false"/>
          <w:smallCaps w:val="false"/>
          <w:strike w:val="false"/>
          <w:dstrike w:val="false"/>
          <w:position w:val="0"/>
          <w:sz w:val="20"/>
          <w:sz w:val="20"/>
          <w:szCs w:val="20"/>
          <w:vertAlign w:val="baseline"/>
        </w:rPr>
        <w:t xml:space="preserve"> SOMENTE NA PRIMEIRA FATURA: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CONTRATO – Cópia do Contrato relativo ao objeto;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Matrícula da obra ou serviço junto à Receita Federal – a matrícula no Cadastro Nacional de Obras – CNO (gerenciado pela Receita Federal)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pelo Receita Federal do Brasil;</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9.2.3.</w:t>
      </w:r>
      <w:r>
        <w:rPr>
          <w:rFonts w:eastAsia="Arial" w:cs="Arial" w:ascii="Arial" w:hAnsi="Arial"/>
          <w:b w:val="false"/>
          <w:i w:val="false"/>
          <w:caps w:val="false"/>
          <w:smallCaps w:val="false"/>
          <w:strike w:val="false"/>
          <w:dstrike w:val="false"/>
          <w:position w:val="0"/>
          <w:sz w:val="20"/>
          <w:sz w:val="20"/>
          <w:szCs w:val="20"/>
          <w:vertAlign w:val="baseline"/>
        </w:rPr>
        <w:t xml:space="preserve"> SOMENTE NA ÚLTIMA FATURA: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CERTIDÃO DE CONCLUSÃO DE OBRA – Emitida pelo Município;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TERMO DE RECEBIMENTO PROVISÓRIO – Devidamente assinado pelos membros da Comissão de Recebimento da Obra;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CND – Certidão Negativa de Débitos do INSS – Referente à obra objeto do contrato;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TERMO DE GARANTIA DO EQUIPAMENTO – Fornecido e instalado compatível com os prazos do fabricante, contados a partir do Recebimento Provisório da obra;</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e) “As Built” – “como construído” – quando houver necessidade, na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forma do item nº 16.3.7 deste </w:t>
      </w:r>
      <w:r>
        <w:rPr>
          <w:rFonts w:eastAsia="Arial" w:cs="Arial" w:ascii="Arial" w:hAnsi="Arial"/>
          <w:b w:val="false"/>
          <w:i w:val="false"/>
          <w:caps w:val="false"/>
          <w:smallCaps w:val="false"/>
          <w:strike w:val="false"/>
          <w:dstrike w:val="false"/>
          <w:position w:val="0"/>
          <w:sz w:val="20"/>
          <w:sz w:val="20"/>
          <w:szCs w:val="20"/>
          <w:vertAlign w:val="baseline"/>
        </w:rPr>
        <w:t>Contrato;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f) Manual de operação, uso e manutenção da edificação, quando for o caso, conforme NBR específica;</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CONTRATANTE deverá observar a seguinte cronologia para o procedimento de pagamentos: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9.4.1</w:t>
      </w:r>
      <w:r>
        <w:rPr>
          <w:rFonts w:eastAsia="Arial" w:cs="Arial" w:ascii="Arial" w:hAnsi="Arial"/>
          <w:b w:val="false"/>
          <w:i w:val="false"/>
          <w:caps w:val="false"/>
          <w:smallCaps w:val="false"/>
          <w:strike w:val="false"/>
          <w:dstrike w:val="false"/>
          <w:position w:val="0"/>
          <w:sz w:val="20"/>
          <w:sz w:val="20"/>
          <w:szCs w:val="20"/>
          <w:vertAlign w:val="baseline"/>
        </w:rPr>
        <w:t>. Os procedimentos para pagamentos de faturas pelo CONTRATANTE serão efetuados consoante ordem cronológica de protocolização. O CONTRATANTE, após processar a fatura, encaminhará a mesma ao órgão titular do crédito orçamentário;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9.4.2 </w:t>
      </w:r>
      <w:r>
        <w:rPr>
          <w:rFonts w:eastAsia="Arial" w:cs="Arial" w:ascii="Arial" w:hAnsi="Arial"/>
          <w:b w:val="false"/>
          <w:i w:val="false"/>
          <w:caps w:val="false"/>
          <w:smallCaps w:val="false"/>
          <w:strike w:val="false"/>
          <w:dstrike w:val="false"/>
          <w:position w:val="0"/>
          <w:sz w:val="20"/>
          <w:sz w:val="20"/>
          <w:szCs w:val="20"/>
          <w:vertAlign w:val="baseline"/>
        </w:rPr>
        <w:t>A data limite para a protocolização de faturas ao Protocolo Geral do CONTRATANTE é o dia 20 (vinte) de cada mês;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9.4.3</w:t>
      </w:r>
      <w:r>
        <w:rPr>
          <w:rFonts w:eastAsia="Arial" w:cs="Arial" w:ascii="Arial" w:hAnsi="Arial"/>
          <w:b w:val="false"/>
          <w:i w:val="false"/>
          <w:caps w:val="false"/>
          <w:smallCaps w:val="false"/>
          <w:strike w:val="false"/>
          <w:dstrike w:val="false"/>
          <w:position w:val="0"/>
          <w:sz w:val="20"/>
          <w:sz w:val="20"/>
          <w:szCs w:val="20"/>
          <w:vertAlign w:val="baseline"/>
        </w:rPr>
        <w:t xml:space="preserve"> No caso de divergência entre a planilha de medição e o faturamento ou na constatação de falta de documentação, por ato administrativo motivado da unidade responsável, o CONTRATADO será notificada a proceder a regularização, sob pena do não recebimento da fatura até que seja sanada a irregularidade;</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prazo máximo para o pagamento das faturas regularmente processadas é de 30 (trinta) dias corridos contados da protocolização, observado o item 9.4.3;</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Após 30 (trinta) dias da protocolização das faturas, incidirá sobre o valor faturado,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rFonts w:eastAsia="Arial" w:cs="Arial" w:ascii="Arial" w:hAnsi="Arial"/>
          <w:b/>
          <w:i w:val="false"/>
          <w:caps w:val="false"/>
          <w:smallCaps w:val="false"/>
          <w:strike w:val="false"/>
          <w:dstrike w:val="false"/>
          <w:position w:val="0"/>
          <w:sz w:val="20"/>
          <w:sz w:val="20"/>
          <w:szCs w:val="20"/>
          <w:highlight w:val="white"/>
          <w:vertAlign w:val="baseline"/>
        </w:rPr>
        <w:t>dias em atraso.</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comprovada infringência de disposição de contrato implicará retenção de pagamentos, até final solução, sem prejuízo de outras penalidades cabíveis.</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9.7.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Nenhum pagamento será efetuado ao CONTRATADO que tenha sido multado, antes de paga ou relevada a multa. Reserva-se ao CONTRATANTE o direito de descontar da das faturas ou da garantia quaisquer débitos do CONTRATADO.</w:t>
      </w:r>
    </w:p>
    <w:p>
      <w:pPr>
        <w:pStyle w:val="Normal1"/>
        <w:widowControl w:val="false"/>
        <w:shd w:val="clear" w:fill="FFFFFF"/>
        <w:tabs>
          <w:tab w:val="clear" w:pos="720"/>
          <w:tab w:val="left" w:pos="0"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keepNext w:val="false"/>
        <w:keepLines w:val="false"/>
        <w:pageBreakBefore w:val="false"/>
        <w:widowControl/>
        <w:shd w:val="clear" w:fill="FFFFFF"/>
        <w:spacing w:lineRule="auto" w:line="240" w:before="57" w:after="57"/>
        <w:ind w:hanging="0" w:left="27"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10. CLÁUSULA DÉCIMA – FONTE DE RECURSOS: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despesa correrá por conta da seguinte dotação orçamentária:</w:t>
      </w:r>
    </w:p>
    <w:p>
      <w:pPr>
        <w:pStyle w:val="Normal1"/>
        <w:shd w:val="clear" w:fill="FFFFFF"/>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Gestão/Unidade: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Fonte de Recursos: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shd w:val="clear" w:fill="FFFFFF"/>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Elemento de Despesa: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conforme indicado na Declaração Orçamentária);.</w:t>
      </w:r>
    </w:p>
    <w:p>
      <w:pPr>
        <w:pStyle w:val="Normal1"/>
        <w:widowControl w:val="false"/>
        <w:shd w:val="clear" w:fill="FFFFFF"/>
        <w:tabs>
          <w:tab w:val="clear" w:pos="720"/>
          <w:tab w:val="left" w:pos="567" w:leader="none"/>
        </w:tabs>
        <w:spacing w:lineRule="auto" w:line="240" w:before="0"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Nota de Empenho: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(preencher com o número da nota de empenho).</w:t>
      </w:r>
    </w:p>
    <w:p>
      <w:pPr>
        <w:pStyle w:val="Normal1"/>
        <w:widowControl w:val="false"/>
        <w:shd w:val="clear" w:fill="FFFFFF"/>
        <w:tabs>
          <w:tab w:val="clear" w:pos="720"/>
          <w:tab w:val="left" w:pos="567" w:leader="none"/>
        </w:tabs>
        <w:spacing w:lineRule="auto" w:line="240" w:before="0" w:after="57"/>
        <w:ind w:hanging="0" w:left="567" w:right="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11. CLÁUSULA DÉCIMA PRIMEIRA – DO REAJUSTAMENTO DE PREÇOS</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preços contratuais dos serviços e obras poderão ser reajustados, em Reais, de acordo com o inciso LVIII do art. 6º da Lei Federal nº 14.133, de 2021 e com os art. 169 e 170 do Decreto Estadual nº 10.086, de 2022.</w:t>
      </w:r>
    </w:p>
    <w:p>
      <w:pPr>
        <w:pStyle w:val="Normal1"/>
        <w:widowControl w:val="false"/>
        <w:shd w:val="clear" w:fill="FFFFFF"/>
        <w:tabs>
          <w:tab w:val="clear" w:pos="720"/>
          <w:tab w:val="left" w:pos="-72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vertAlign w:val="baseline"/>
        </w:rPr>
        <w:t>11.2.</w:t>
      </w:r>
      <w:r>
        <w:rPr>
          <w:rFonts w:eastAsia="Arial" w:cs="Arial" w:ascii="Arial" w:hAnsi="Arial"/>
          <w:b w:val="false"/>
          <w:i w:val="false"/>
          <w:caps w:val="false"/>
          <w:smallCaps w:val="false"/>
          <w:strike w:val="false"/>
          <w:dstrike w:val="false"/>
          <w:color w:val="00000A"/>
          <w:position w:val="0"/>
          <w:sz w:val="20"/>
          <w:sz w:val="20"/>
          <w:szCs w:val="20"/>
          <w:highlight w:val="white"/>
          <w:vertAlign w:val="baseline"/>
        </w:rPr>
        <w:t xml:space="preserve"> O reajustamento de preços, quando e se for o caso, será efetuado observada a periodicidade prevista em lei nacional, considerando-se a variação ocorrida desde a data do orçamento, conforme estabelece o parágrafo único do art. 169 do Decreto Estadual nº 10.086/2022, até a data do efetivo adimplemento da obrigação, calculada pelo índice definido neste Contrato;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11.2.1.</w:t>
      </w:r>
      <w:r>
        <w:rPr>
          <w:rFonts w:eastAsia="Arial" w:cs="Arial" w:ascii="Arial" w:hAnsi="Arial"/>
          <w:b w:val="false"/>
          <w:i w:val="false"/>
          <w:caps w:val="false"/>
          <w:smallCaps w:val="false"/>
          <w:strike w:val="false"/>
          <w:dstrike w:val="false"/>
          <w:position w:val="0"/>
          <w:sz w:val="20"/>
          <w:sz w:val="20"/>
          <w:szCs w:val="20"/>
          <w:vertAlign w:val="baseline"/>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11.2.2.</w:t>
      </w:r>
      <w:r>
        <w:rPr>
          <w:rFonts w:eastAsia="Arial" w:cs="Arial" w:ascii="Arial" w:hAnsi="Arial"/>
          <w:b w:val="false"/>
          <w:i w:val="false"/>
          <w:caps w:val="false"/>
          <w:smallCaps w:val="false"/>
          <w:strike w:val="false"/>
          <w:dstrike w:val="false"/>
          <w:position w:val="0"/>
          <w:sz w:val="20"/>
          <w:sz w:val="20"/>
          <w:szCs w:val="20"/>
          <w:vertAlign w:val="baseline"/>
        </w:rPr>
        <w:t xml:space="preserve"> Se em consequência de culpa do CONTRATADO forem ultrapassados os prazos, o reajustamento só será aplicado com índice correspondente ao respectivo período de execução previsto no cronograma físico-financeiro, sem prejuízo da aplicação das penalidades pertinentes;</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11.2.3</w:t>
      </w:r>
      <w:r>
        <w:rPr>
          <w:rFonts w:eastAsia="Arial" w:cs="Arial" w:ascii="Arial" w:hAnsi="Arial"/>
          <w:b w:val="false"/>
          <w:i w:val="false"/>
          <w:caps w:val="false"/>
          <w:smallCaps w:val="false"/>
          <w:strike w:val="false"/>
          <w:dstrike w:val="false"/>
          <w:position w:val="0"/>
          <w:sz w:val="20"/>
          <w:sz w:val="20"/>
          <w:szCs w:val="20"/>
          <w:vertAlign w:val="baseline"/>
        </w:rPr>
        <w:t>. Se o CONTRATADO antecipar o cronograma de execução, o reajustamento será aplicado com índice correspondente somente pelo período de execução efetiva do objeto contratado, conforme previstos na planilha de medição;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11.2.4.</w:t>
      </w:r>
      <w:r>
        <w:rPr>
          <w:rFonts w:eastAsia="Arial" w:cs="Arial" w:ascii="Arial" w:hAnsi="Arial"/>
          <w:b w:val="false"/>
          <w:i w:val="false"/>
          <w:caps w:val="false"/>
          <w:smallCaps w:val="false"/>
          <w:strike w:val="false"/>
          <w:dstrike w:val="false"/>
          <w:position w:val="0"/>
          <w:sz w:val="20"/>
          <w:sz w:val="20"/>
          <w:szCs w:val="20"/>
          <w:vertAlign w:val="baseline"/>
        </w:rPr>
        <w:t xml:space="preserve"> O contrato será reajustado na forma da Lei e deste Contrato, independentemente de solicitação do CONTRATADO, salvo em caso de atraso do Cronograma físico-financeiro imputável ao CONTRATADO;</w:t>
      </w:r>
    </w:p>
    <w:p>
      <w:pPr>
        <w:pStyle w:val="Normal1"/>
        <w:widowControl w:val="false"/>
        <w:shd w:val="clear" w:fill="FFFFFF"/>
        <w:tabs>
          <w:tab w:val="clear" w:pos="720"/>
          <w:tab w:val="left" w:pos="-10517"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11.2.5.</w:t>
      </w:r>
      <w:r>
        <w:rPr>
          <w:rFonts w:eastAsia="Arial" w:cs="Arial" w:ascii="Arial" w:hAnsi="Arial"/>
          <w:b w:val="false"/>
          <w:i w:val="false"/>
          <w:caps w:val="false"/>
          <w:smallCaps w:val="false"/>
          <w:strike w:val="false"/>
          <w:dstrike w:val="false"/>
          <w:position w:val="0"/>
          <w:sz w:val="20"/>
          <w:sz w:val="20"/>
          <w:szCs w:val="20"/>
          <w:vertAlign w:val="baseline"/>
        </w:rPr>
        <w:t xml:space="preserve"> A variação do valor contratual para fazer face ao reajuste de preços previsto neste Contrato deve ser registrada por simples apostila, dispensando a celebração de termo aditivo.</w:t>
      </w:r>
    </w:p>
    <w:p>
      <w:pPr>
        <w:pStyle w:val="Normal1"/>
        <w:widowControl w:val="false"/>
        <w:shd w:val="clear" w:fill="FFFFFF"/>
        <w:tabs>
          <w:tab w:val="clear" w:pos="720"/>
          <w:tab w:val="left" w:pos="-1080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w:t>
      </w:r>
      <w:r>
        <w:rPr>
          <w:rFonts w:eastAsia="Arial" w:cs="Arial" w:ascii="Arial" w:hAnsi="Arial"/>
          <w:b w:val="false"/>
          <w:i w:val="false"/>
          <w:caps w:val="false"/>
          <w:smallCaps w:val="false"/>
          <w:strike w:val="false"/>
          <w:dstrike w:val="false"/>
          <w:position w:val="0"/>
          <w:sz w:val="20"/>
          <w:sz w:val="20"/>
          <w:szCs w:val="20"/>
          <w:vertAlign w:val="baseline"/>
        </w:rPr>
        <w:t xml:space="preserve"> O cálculo do reajustamento para os preços contratuais iniciais obedecerá a seguinte fórmula:</w:t>
      </w:r>
    </w:p>
    <w:tbl>
      <w:tblPr>
        <w:tblStyle w:val="Table52"/>
        <w:tblW w:w="3628" w:type="dxa"/>
        <w:jc w:val="left"/>
        <w:tblInd w:w="-30" w:type="dxa"/>
        <w:tblLayout w:type="fixed"/>
        <w:tblCellMar>
          <w:top w:w="0" w:type="dxa"/>
          <w:left w:w="108" w:type="dxa"/>
          <w:bottom w:w="0" w:type="dxa"/>
          <w:right w:w="108" w:type="dxa"/>
        </w:tblCellMar>
        <w:tblLook w:val="0000"/>
      </w:tblPr>
      <w:tblGrid>
        <w:gridCol w:w="3628"/>
      </w:tblGrid>
      <w:tr>
        <w:trPr>
          <w:trHeight w:val="1010" w:hRule="atLeast"/>
        </w:trPr>
        <w:tc>
          <w:tcPr>
            <w:tcW w:w="362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R = K x Vr</w:t>
            </w:r>
          </w:p>
        </w:tc>
      </w:tr>
      <w:tr>
        <w:trPr>
          <w:trHeight w:val="1010" w:hRule="atLeast"/>
        </w:trPr>
        <w:tc>
          <w:tcPr>
            <w:tcW w:w="3628" w:type="dxa"/>
            <w:tcBorders>
              <w:left w:val="single" w:sz="6" w:space="0" w:color="C0C0C0"/>
              <w:bottom w:val="single" w:sz="6" w:space="0" w:color="C0C0C0"/>
              <w:right w:val="single" w:sz="6" w:space="0" w:color="C0C0C0"/>
            </w:tcBorders>
            <w:shd w:fill="auto" w:val="clear"/>
            <w:vAlign w:val="center"/>
          </w:tcPr>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R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x Vr</w:t>
            </w:r>
          </w:p>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r>
        <w:trPr/>
        <w:tc>
          <w:tcPr>
            <w:tcW w:w="3628"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shd w:val="clear" w:fill="FFFFFF"/>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K = ( </w:t>
            </w:r>
            <w:r>
              <w:rPr>
                <w:rFonts w:eastAsia="Arial" w:cs="Arial" w:ascii="Arial" w:hAnsi="Arial"/>
                <w:b w:val="false"/>
                <w:i w:val="false"/>
                <w:caps w:val="false"/>
                <w:smallCaps w:val="false"/>
                <w:strike w:val="false"/>
                <w:dstrike w:val="false"/>
                <w:position w:val="0"/>
                <w:sz w:val="20"/>
                <w:sz w:val="20"/>
                <w:szCs w:val="20"/>
                <w:u w:val="single"/>
                <w:vertAlign w:val="baseline"/>
              </w:rPr>
              <w:t xml:space="preserve">li </w:t>
            </w:r>
            <w:r>
              <w:rPr>
                <w:rFonts w:eastAsia="Arial" w:cs="Arial" w:ascii="Arial" w:hAnsi="Arial"/>
                <w:b w:val="false"/>
                <w:i w:val="false"/>
                <w:caps w:val="false"/>
                <w:smallCaps w:val="false"/>
                <w:strike w:val="false"/>
                <w:dstrike w:val="false"/>
                <w:position w:val="0"/>
                <w:sz w:val="20"/>
                <w:sz w:val="20"/>
                <w:szCs w:val="20"/>
                <w:vertAlign w:val="baseline"/>
              </w:rPr>
              <w:t xml:space="preserve"> - 1 )</w:t>
            </w:r>
          </w:p>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Io</w:t>
            </w:r>
          </w:p>
        </w:tc>
      </w:tr>
    </w:tbl>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br/>
        <w:t>R = valor do reajustamento procurado,</w:t>
      </w:r>
    </w:p>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K = Fator de reajustamento</w:t>
      </w:r>
    </w:p>
    <w:p>
      <w:pPr>
        <w:pStyle w:val="Normal1"/>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Vr = Valor da fatura a ser reajustada</w:t>
      </w:r>
    </w:p>
    <w:p>
      <w:pPr>
        <w:pStyle w:val="Normal1"/>
        <w:keepNext w:val="false"/>
        <w:keepLines w:val="false"/>
        <w:pageBreakBefore w:val="false"/>
        <w:widowControl/>
        <w:shd w:val="clear" w:fill="FFFFFF"/>
        <w:spacing w:lineRule="auto" w:line="240" w:before="57"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lo = O índice de preços inicial (lo) será o índice econômico vigente na data do orçamento, conforme estabelece o parágrafo único do art. 169 do decreto Estadual nº 10.086/2022.</w:t>
      </w:r>
    </w:p>
    <w:p>
      <w:pPr>
        <w:pStyle w:val="Normal1"/>
        <w:keepNext w:val="false"/>
        <w:keepLines w:val="false"/>
        <w:pageBreakBefore w:val="false"/>
        <w:widowControl/>
        <w:shd w:val="clear" w:fill="FFFFFF"/>
        <w:spacing w:lineRule="auto" w:line="240" w:before="57" w:after="0"/>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Ii = O índice de preços (li) será o índice econômico vigente no mês do vencimento de cada período de 365 (trezentos e sessenta e cinco) dias da data do orçamento conforme estabelece o parágrafo único do art. 169 do decreto Estadual nº 10.086/2022.</w:t>
      </w:r>
    </w:p>
    <w:p>
      <w:pPr>
        <w:pStyle w:val="Normal1"/>
        <w:widowControl w:val="false"/>
        <w:shd w:val="clear" w:fill="FFFFFF"/>
        <w:tabs>
          <w:tab w:val="clear" w:pos="720"/>
          <w:tab w:val="left" w:pos="-10517" w:leader="none"/>
        </w:tabs>
        <w:spacing w:lineRule="auto" w:line="240" w:before="57" w:after="0"/>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11.3.1.</w:t>
      </w:r>
      <w:r>
        <w:rPr>
          <w:rFonts w:eastAsia="Arial" w:cs="Arial" w:ascii="Arial" w:hAnsi="Arial"/>
          <w:b w:val="false"/>
          <w:i w:val="false"/>
          <w:caps w:val="false"/>
          <w:smallCaps w:val="false"/>
          <w:strike w:val="false"/>
          <w:dstrike w:val="false"/>
          <w:position w:val="0"/>
          <w:sz w:val="20"/>
          <w:sz w:val="20"/>
          <w:szCs w:val="20"/>
          <w:vertAlign w:val="baseline"/>
        </w:rPr>
        <w:t xml:space="preserve"> Os reajustamentos terão fator constante em cada período de 365 (trezentos e sessenta e cinco) dias. E, decorrido esse interregno, proceder-se-á a novo reajustamento de acordo com a metodologia constante neste Contrato.</w:t>
      </w:r>
    </w:p>
    <w:p>
      <w:pPr>
        <w:pStyle w:val="Normal1"/>
        <w:widowControl w:val="false"/>
        <w:shd w:val="clear" w:fill="FFFFFF"/>
        <w:tabs>
          <w:tab w:val="clear" w:pos="720"/>
          <w:tab w:val="left" w:pos="-10517" w:leader="none"/>
        </w:tabs>
        <w:spacing w:lineRule="auto" w:line="240" w:before="57" w:after="0"/>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11.3.2.</w:t>
      </w:r>
      <w:r>
        <w:rPr>
          <w:rFonts w:eastAsia="Arial" w:cs="Arial" w:ascii="Arial" w:hAnsi="Arial"/>
          <w:b w:val="false"/>
          <w:i w:val="false"/>
          <w:caps w:val="false"/>
          <w:smallCaps w:val="false"/>
          <w:strike w:val="false"/>
          <w:dstrike w:val="false"/>
          <w:position w:val="0"/>
          <w:sz w:val="20"/>
          <w:sz w:val="20"/>
          <w:szCs w:val="20"/>
          <w:vertAlign w:val="baseline"/>
        </w:rPr>
        <w:t xml:space="preserve"> A periodicidade do reajustamento poderá ser reduzida por meio de legislação superveniente.</w:t>
      </w:r>
    </w:p>
    <w:p>
      <w:pPr>
        <w:pStyle w:val="Normal1"/>
        <w:widowControl w:val="false"/>
        <w:shd w:val="clear" w:fill="FFFFFF"/>
        <w:tabs>
          <w:tab w:val="clear" w:pos="720"/>
          <w:tab w:val="left" w:pos="-10517" w:leader="none"/>
        </w:tabs>
        <w:spacing w:lineRule="auto" w:line="240" w:before="57" w:after="0"/>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11.3.3.</w:t>
      </w:r>
      <w:r>
        <w:rPr>
          <w:rFonts w:eastAsia="Arial" w:cs="Arial" w:ascii="Arial" w:hAnsi="Arial"/>
          <w:b w:val="false"/>
          <w:i w:val="false"/>
          <w:caps w:val="false"/>
          <w:smallCaps w:val="false"/>
          <w:strike w:val="false"/>
          <w:dstrike w:val="false"/>
          <w:position w:val="0"/>
          <w:sz w:val="20"/>
          <w:sz w:val="20"/>
          <w:szCs w:val="20"/>
          <w:vertAlign w:val="baseline"/>
        </w:rPr>
        <w:t xml:space="preserve"> O primeiro reajustamento, quando couber, será concedido após decorrido o período de 365 (trezentos e sessenta e cinco) dias da data do orçamento, conforme estabelece o parágrafo único do art. 169 do decreto Estadual nº 10.086/2022, desde que preenchidos os requisitos legais.</w:t>
      </w:r>
    </w:p>
    <w:p>
      <w:pPr>
        <w:pStyle w:val="Normal1"/>
        <w:widowControl w:val="false"/>
        <w:shd w:val="clear" w:fill="FFFFFF"/>
        <w:tabs>
          <w:tab w:val="clear" w:pos="720"/>
          <w:tab w:val="left" w:pos="-10517" w:leader="none"/>
        </w:tabs>
        <w:spacing w:lineRule="auto" w:line="240" w:before="57" w:after="0"/>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11.3.4.</w:t>
      </w:r>
      <w:r>
        <w:rPr>
          <w:rFonts w:eastAsia="Arial" w:cs="Arial" w:ascii="Arial" w:hAnsi="Arial"/>
          <w:b w:val="false"/>
          <w:i w:val="false"/>
          <w:caps w:val="false"/>
          <w:smallCaps w:val="false"/>
          <w:strike w:val="false"/>
          <w:dstrike w:val="false"/>
          <w:position w:val="0"/>
          <w:sz w:val="20"/>
          <w:sz w:val="20"/>
          <w:szCs w:val="20"/>
          <w:vertAlign w:val="baseline"/>
        </w:rPr>
        <w:t xml:space="preserve"> Caso o contrato seja assinado após o decurso do período de 365 (trezentos e sessenta e cinco) dias data do orçamento, conforme estabelece o parágrafo único do art. 169 do decreto Estadual nº 10.086/2022, o valor contratual deverá ser reajustado até a data do primeiro aniversário do orçamento;</w:t>
      </w:r>
    </w:p>
    <w:p>
      <w:pPr>
        <w:pStyle w:val="Normal1"/>
        <w:widowControl w:val="false"/>
        <w:shd w:val="clear" w:fill="FFFFFF"/>
        <w:tabs>
          <w:tab w:val="clear" w:pos="720"/>
          <w:tab w:val="left" w:pos="-10517" w:leader="none"/>
        </w:tabs>
        <w:spacing w:lineRule="auto" w:line="240" w:before="57" w:after="0"/>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11.3.5.</w:t>
      </w:r>
      <w:r>
        <w:rPr>
          <w:rFonts w:eastAsia="Arial" w:cs="Arial" w:ascii="Arial" w:hAnsi="Arial"/>
          <w:b w:val="false"/>
          <w:i w:val="false"/>
          <w:caps w:val="false"/>
          <w:smallCaps w:val="false"/>
          <w:strike w:val="false"/>
          <w:dstrike w:val="false"/>
          <w:position w:val="0"/>
          <w:sz w:val="20"/>
          <w:sz w:val="20"/>
          <w:szCs w:val="20"/>
          <w:vertAlign w:val="baseline"/>
        </w:rPr>
        <w:t xml:space="preserve"> Para o reajustamento será utilizado o “Índice Nacional de Custo da Construção – Disponibilidade Interna – INCC-DI”, elaborado pela Fundação Getúlio Vargas – FGV.</w:t>
      </w:r>
    </w:p>
    <w:p>
      <w:pPr>
        <w:pStyle w:val="Normal1"/>
        <w:shd w:val="clear" w:fill="FFFFFF"/>
        <w:tabs>
          <w:tab w:val="clear" w:pos="720"/>
          <w:tab w:val="left" w:pos="2187"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Caso o índice estabelecido para reajustamento venha a ser extinto ou de qualquer forma não possa mais ser utilizado, será adotado em substituição o que vier a ser determinado pela legislação então em vigor.</w:t>
      </w:r>
    </w:p>
    <w:p>
      <w:pPr>
        <w:pStyle w:val="Normal1"/>
        <w:shd w:val="clear" w:fill="FFFFFF"/>
        <w:tabs>
          <w:tab w:val="clear" w:pos="720"/>
          <w:tab w:val="left" w:pos="2187" w:leader="none"/>
        </w:tabs>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Na ausência dos índices específicos ou setoriais, previstos no artigo anterior, adotar-se-á o índice geral de preços mais vantajoso para a Administração, calculado por instituição oficial que retrate a variação do poder aquisitivo da moeda.</w:t>
      </w:r>
    </w:p>
    <w:p>
      <w:pPr>
        <w:pStyle w:val="Normal1"/>
        <w:shd w:val="clear" w:fill="FFFFFF"/>
        <w:tabs>
          <w:tab w:val="clear" w:pos="720"/>
          <w:tab w:val="left" w:pos="1620"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A"/>
          <w:position w:val="0"/>
          <w:sz w:val="20"/>
          <w:sz w:val="20"/>
          <w:szCs w:val="20"/>
          <w:highlight w:val="white"/>
          <w:vertAlign w:val="baseline"/>
        </w:rPr>
        <w:t>11.4.</w:t>
      </w:r>
      <w:r>
        <w:rPr>
          <w:rFonts w:eastAsia="Arial" w:cs="Arial" w:ascii="Arial" w:hAnsi="Arial"/>
          <w:b w:val="false"/>
          <w:i w:val="false"/>
          <w:caps w:val="false"/>
          <w:smallCaps w:val="false"/>
          <w:strike w:val="false"/>
          <w:dstrike w:val="false"/>
          <w:color w:val="00000A"/>
          <w:position w:val="0"/>
          <w:sz w:val="20"/>
          <w:sz w:val="20"/>
          <w:szCs w:val="20"/>
          <w:highlight w:val="white"/>
          <w:vertAlign w:val="baseline"/>
        </w:rPr>
        <w:t xml:space="preserve"> Considerar-se-á até a quarta casa decimal, sem arredondamento, o quociente de reajuste.</w:t>
      </w:r>
    </w:p>
    <w:p>
      <w:pPr>
        <w:pStyle w:val="Normal1"/>
        <w:shd w:val="clear" w:fill="FFFFFF"/>
        <w:tabs>
          <w:tab w:val="clear" w:pos="720"/>
          <w:tab w:val="left" w:pos="1620" w:leader="none"/>
        </w:tabs>
        <w:spacing w:lineRule="auto" w:line="240" w:before="57" w:after="0"/>
        <w:jc w:val="both"/>
        <w:rPr>
          <w:rFonts w:ascii="Arial" w:hAnsi="Arial" w:eastAsia="Arial" w:cs="Arial"/>
          <w:color w:val="00000A"/>
          <w:position w:val="0"/>
          <w:sz w:val="20"/>
          <w:sz w:val="20"/>
          <w:szCs w:val="20"/>
          <w:highlight w:val="white"/>
          <w:vertAlign w:val="baseline"/>
        </w:rPr>
      </w:pPr>
      <w:r>
        <w:rPr>
          <w:rFonts w:eastAsia="Arial" w:cs="Arial" w:ascii="Arial" w:hAnsi="Arial"/>
          <w:color w:val="00000A"/>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 CLÁUSULA DÉCIMA SEGUNDA – DAS GARANTIAS</w:t>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Caberá ao CONTRATADO optar por uma das seguintes modalidades de garantia:</w:t>
      </w:r>
    </w:p>
    <w:p>
      <w:pPr>
        <w:pStyle w:val="Normal1"/>
        <w:keepNext w:val="false"/>
        <w:keepLines w:val="false"/>
        <w:pageBreakBefore w:val="false"/>
        <w:widowControl/>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 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pPr>
        <w:pStyle w:val="Normal1"/>
        <w:keepNext w:val="false"/>
        <w:keepLines w:val="false"/>
        <w:pageBreakBefore w:val="false"/>
        <w:widowControl/>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b) fiança bancária;</w:t>
      </w:r>
    </w:p>
    <w:p>
      <w:pPr>
        <w:pStyle w:val="Normal1"/>
        <w:keepNext w:val="false"/>
        <w:keepLines w:val="false"/>
        <w:pageBreakBefore w:val="false"/>
        <w:widowControl/>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c) seguro-garantia.</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highlight w:val="white"/>
          <w:u w:val="none"/>
          <w:vertAlign w:val="baseline"/>
        </w:rPr>
        <w:t>12.1.1</w:t>
      </w:r>
      <w:r>
        <w:rPr>
          <w:rFonts w:eastAsia="Arial" w:cs="Arial" w:ascii="Arial" w:hAnsi="Arial"/>
          <w:b w:val="false"/>
          <w:i w:val="false"/>
          <w:caps w:val="false"/>
          <w:smallCaps w:val="false"/>
          <w:strike w:val="false"/>
          <w:dstrike w:val="false"/>
          <w:color w:val="FF0000"/>
          <w:position w:val="0"/>
          <w:sz w:val="20"/>
          <w:sz w:val="20"/>
          <w:szCs w:val="20"/>
          <w:highlight w:val="white"/>
          <w:u w:val="none"/>
          <w:vertAlign w:val="baseline"/>
        </w:rPr>
        <w:t xml:space="preserve"> As garantias serão equivalentes a 5% (cinco por cento) do valor do contrato, incluído, no que couber, o reajustamento de preços</w:t>
      </w:r>
    </w:p>
    <w:p>
      <w:pPr>
        <w:pStyle w:val="Normal1"/>
        <w:widowControl w:val="false"/>
        <w:shd w:val="clear" w:fill="FFFFFF"/>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53"/>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1. O percentual poderá ser majorado para até 10% (dez por cento), desde que justificada mediante análise da complexidade técnica e dos riscos envolvidos.</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2. Nas contratações de obras e serviços de engenharia de grande vulto, poderá ser exigida a prestação de garantia, na modalidade seguro-garantia, com cláusula de retomada prevista no art. 102 da Lei nº 14.133/20221, em percentual equivalente a até 30% (trinta por cento) do valor inicial do contrato.</w:t>
            </w:r>
          </w:p>
        </w:tc>
      </w:tr>
    </w:tbl>
    <w:p>
      <w:pPr>
        <w:pStyle w:val="Normal1"/>
        <w:widowControl w:val="false"/>
        <w:shd w:val="clear" w:fill="FFFFFF"/>
        <w:tabs>
          <w:tab w:val="clear" w:pos="720"/>
          <w:tab w:val="left" w:pos="851" w:leader="none"/>
          <w:tab w:val="left" w:pos="1134"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12.1.2.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garantia em dinheiro, o CONTRATADO depositará em conta bancária específica, informada pelo CONTRATANTE, a importância correspondente a 5% (cinco por cento) do valor do contrato, a qual será aplicada em Instituição Financeira, conforme Lei Estadual n.º 11.685 de 11/02/87.</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garantia em cheque, somente será aceito pelo CONTRATANTE, cheque administrativo.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garantia prestada na modalidade de seguro-garantia, deverá vir acompanhada, obrigatoriamente, da Certidão de Regularidade Operacional junto à SUSEP – Superintendência de Seguros Privados, em nome da Seguradora que emitir a apólice;</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garantia prestada em carta fiança emitida por cooperativa de crédito deverá vir acompanhada da autorização de funcionamento emitida pelo Banco Central do Brasil.</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Quando a garantia se processar sob a forma de Seguro-Garantia ou Fiança Bancária, a mesma não poderá ser prestada de forma proporcional ao período contratual, devendo sua validade coincidir com o </w:t>
      </w:r>
      <w:r>
        <w:rPr>
          <w:rFonts w:eastAsia="Arial" w:cs="Arial" w:ascii="Arial" w:hAnsi="Arial"/>
          <w:b w:val="false"/>
          <w:i w:val="false"/>
          <w:caps w:val="false"/>
          <w:smallCaps w:val="false"/>
          <w:strike w:val="false"/>
          <w:dstrike w:val="false"/>
          <w:position w:val="0"/>
          <w:sz w:val="20"/>
          <w:sz w:val="20"/>
          <w:szCs w:val="20"/>
          <w:highlight w:val="yellow"/>
          <w:vertAlign w:val="baseline"/>
        </w:rPr>
        <w:t>prazo de vigência do contrato</w:t>
      </w:r>
      <w:r>
        <w:rPr>
          <w:rFonts w:eastAsia="Arial" w:cs="Arial" w:ascii="Arial" w:hAnsi="Arial"/>
          <w:b w:val="false"/>
          <w:i w:val="false"/>
          <w:caps w:val="false"/>
          <w:smallCaps w:val="false"/>
          <w:strike w:val="false"/>
          <w:dstrike w:val="false"/>
          <w:position w:val="0"/>
          <w:sz w:val="20"/>
          <w:sz w:val="20"/>
          <w:szCs w:val="20"/>
          <w:highlight w:val="white"/>
          <w:vertAlign w:val="baseline"/>
        </w:rPr>
        <w:t>. Caso ocorra prorrogação do contrato, a garantia apresentada deverá ser prorrogada.</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garantia prestada em títulos da dívida pública, deverá vir acompanhada, obrigatoriamente, das seguintes comprovações:</w:t>
      </w:r>
    </w:p>
    <w:p>
      <w:pPr>
        <w:pStyle w:val="Normal1"/>
        <w:shd w:val="clear" w:fill="FFFFFF"/>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origem/aquisição mediante documento respectivo e lançamento contábil por meio de registros no balanço patrimonial do CONTRATADO;</w:t>
      </w:r>
    </w:p>
    <w:p>
      <w:pPr>
        <w:pStyle w:val="Normal1"/>
        <w:shd w:val="clear" w:fill="FFFFFF"/>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documento emitido por entidade ou organismo oficial, dotado de fé pública, demonstrando o valor do título atualizado monetariamente.</w:t>
      </w:r>
    </w:p>
    <w:p>
      <w:pPr>
        <w:pStyle w:val="Normal1"/>
        <w:shd w:val="clear" w:fill="FFFFFF"/>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memória de cálculo da correção atualizada do valor do título realizada por profissional legalmente habilitado;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12.1.8. </w:t>
      </w:r>
      <w:r>
        <w:rPr>
          <w:rFonts w:eastAsia="Arial" w:cs="Arial" w:ascii="Arial" w:hAnsi="Arial"/>
          <w:b w:val="false"/>
          <w:i w:val="false"/>
          <w:caps w:val="false"/>
          <w:smallCaps w:val="false"/>
          <w:strike w:val="false"/>
          <w:dstrike w:val="false"/>
          <w:position w:val="0"/>
          <w:sz w:val="20"/>
          <w:sz w:val="20"/>
          <w:szCs w:val="20"/>
          <w:highlight w:val="white"/>
          <w:vertAlign w:val="baseline"/>
        </w:rPr>
        <w:t>Serão aceitos pelo CONTRATANTE apenas e tão somente títulos passíveis de resgate incontestável sob qualquer aspecto e com prazos de resgate de no máximo 90 dias após o prazo contratual.</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12.1.9.</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CONTRATANTE se reserva ao direito de averiguar, de acordo com as cautelas de estilo, a autenticidade do(s) título(s). Em se constatando indícios de fraude, o CONTRATANTE deverá oferecer denúncia ao Ministério Público.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12.1.10</w:t>
      </w:r>
      <w:r>
        <w:rPr>
          <w:rFonts w:eastAsia="Arial" w:cs="Arial" w:ascii="Arial" w:hAnsi="Arial"/>
          <w:b w:val="false"/>
          <w:i w:val="false"/>
          <w:caps w:val="false"/>
          <w:smallCaps w:val="false"/>
          <w:strike w:val="false"/>
          <w:dstrike w:val="false"/>
          <w:position w:val="0"/>
          <w:sz w:val="20"/>
          <w:sz w:val="20"/>
          <w:szCs w:val="20"/>
          <w:highlight w:val="white"/>
          <w:vertAlign w:val="baseline"/>
        </w:rPr>
        <w:t>. A validade do seguro-garantia e fiança bancária será de 180 (cento e oitenta) dias além do prazo de execução dos serviços. Caso ocorra prorrogação do contrato, a garantia apresentada deverá ser prorrogada.</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Uma das garantias previstas no item 12.1 letras a, b, e c, deverá ser apresentada previamente à assinatura do contrato a ser celebrado com o CONTRATANTE. O atendimento a esta determinação é requisito para a assinatura do contrato.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12.1.11.1.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No caso de </w:t>
      </w:r>
      <w:r>
        <w:rPr>
          <w:rFonts w:eastAsia="Arial" w:cs="Arial" w:ascii="Arial" w:hAnsi="Arial"/>
          <w:b w:val="false"/>
          <w:i w:val="false"/>
          <w:caps w:val="false"/>
          <w:smallCaps w:val="false"/>
          <w:strike w:val="false"/>
          <w:dstrike w:val="false"/>
          <w:color w:val="000000"/>
          <w:position w:val="0"/>
          <w:sz w:val="20"/>
          <w:sz w:val="20"/>
          <w:szCs w:val="20"/>
          <w:vertAlign w:val="baseline"/>
        </w:rPr>
        <w:t>o contratado optar pela modalidade seguro-garantia, deverá apresentá-lo no prazo mínimo de 1 (um) mês, contado da data de homologação da licitação e anterior à assinatura do contrato.</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12.1.12.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garantia do contrato acompanhará os eventuais ajustes do valor contratual, devendo ser complementada pelo CONTRATADO, quando da celebração de Termos Aditivos ou apostilamentos ao contrato original, quando couber.</w:t>
      </w:r>
    </w:p>
    <w:p>
      <w:pPr>
        <w:pStyle w:val="Normal1"/>
        <w:widowControl w:val="false"/>
        <w:shd w:val="clear" w:fill="FFFFFF"/>
        <w:tabs>
          <w:tab w:val="clear" w:pos="720"/>
          <w:tab w:val="left" w:pos="-9666" w:leader="none"/>
          <w:tab w:val="left" w:pos="-9383"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12.1.13.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vertAlign w:val="baseline"/>
        </w:rPr>
        <w:t xml:space="preserve">Como condição para assinatura do contrato, </w:t>
      </w:r>
      <w:r>
        <w:rPr>
          <w:rFonts w:eastAsia="Arial" w:cs="Arial" w:ascii="Arial" w:hAnsi="Arial"/>
          <w:b w:val="false"/>
          <w:i w:val="false"/>
          <w:caps w:val="false"/>
          <w:smallCaps w:val="false"/>
          <w:strike w:val="false"/>
          <w:dstrike w:val="false"/>
          <w:color w:val="000000"/>
          <w:position w:val="0"/>
          <w:sz w:val="20"/>
          <w:sz w:val="20"/>
          <w:szCs w:val="20"/>
          <w:vertAlign w:val="baseline"/>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12.2.</w:t>
      </w:r>
      <w:r>
        <w:rPr>
          <w:rFonts w:eastAsia="Arial" w:cs="Arial" w:ascii="Arial" w:hAnsi="Arial"/>
          <w:b w:val="false"/>
          <w:i w:val="false"/>
          <w:caps w:val="false"/>
          <w:smallCaps w:val="false"/>
          <w:strike w:val="false"/>
          <w:dstrike w:val="false"/>
          <w:position w:val="0"/>
          <w:sz w:val="20"/>
          <w:sz w:val="20"/>
          <w:szCs w:val="20"/>
          <w:highlight w:val="white"/>
          <w:vertAlign w:val="baseline"/>
        </w:rPr>
        <w:t>A caução referente ao reajuste, será retida pelo CONTRATANTE, quando devida, por ocasião do pagamento das parcelas.</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Havendo acréscimo no valor contratual, o CONTRATADO deverá proceder o reforço proporcional da garantia. O não atendimento autoriza o CONTRATANTE a descontar das faturas o valor correspondente.</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12.4. </w:t>
      </w:r>
      <w:r>
        <w:rPr>
          <w:rFonts w:eastAsia="Arial" w:cs="Arial" w:ascii="Arial" w:hAnsi="Arial"/>
          <w:b w:val="false"/>
          <w:i w:val="false"/>
          <w:caps w:val="false"/>
          <w:smallCaps w:val="false"/>
          <w:strike w:val="false"/>
          <w:dstrike w:val="false"/>
          <w:position w:val="0"/>
          <w:sz w:val="20"/>
          <w:sz w:val="20"/>
          <w:szCs w:val="20"/>
          <w:highlight w:val="white"/>
          <w:vertAlign w:val="baseline"/>
        </w:rPr>
        <w:t>As garantias serão devolvidas ao CONTRATADO, após a lavratura do termo de recebimento definitivo e da apuração dos haveres, devidamente atualizados e da apresentação dos documentos exigidos no item 19.5 deste contrato.</w:t>
      </w:r>
    </w:p>
    <w:p>
      <w:pPr>
        <w:pStyle w:val="Normal1"/>
        <w:widowControl w:val="false"/>
        <w:shd w:val="clear" w:fill="FFFFFF"/>
        <w:tabs>
          <w:tab w:val="clear" w:pos="720"/>
          <w:tab w:val="left" w:pos="-6349"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13. CLÁUSULA DÉCIMA TERCEIRA – DOS PRAZOS</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serviços deverão ser iniciados na data estabelecida na Ordem de Serviço referente ao contrato, sob pena do CONTRATADO ser penalizada com base no item</w:t>
      </w:r>
      <w:r>
        <w:rPr>
          <w:rFonts w:eastAsia="Arial" w:cs="Arial" w:ascii="Arial" w:hAnsi="Arial"/>
          <w:b w:val="false"/>
          <w:i w:val="false"/>
          <w:caps w:val="false"/>
          <w:smallCaps w:val="false"/>
          <w:strike w:val="false"/>
          <w:dstrike w:val="false"/>
          <w:position w:val="0"/>
          <w:sz w:val="20"/>
          <w:sz w:val="20"/>
          <w:szCs w:val="20"/>
          <w:vertAlign w:val="baseline"/>
        </w:rPr>
        <w:t xml:space="preserve"> 18.15 d</w:t>
      </w:r>
      <w:r>
        <w:rPr>
          <w:rFonts w:eastAsia="Arial" w:cs="Arial" w:ascii="Arial" w:hAnsi="Arial"/>
          <w:b w:val="false"/>
          <w:i w:val="false"/>
          <w:caps w:val="false"/>
          <w:smallCaps w:val="false"/>
          <w:strike w:val="false"/>
          <w:dstrike w:val="false"/>
          <w:position w:val="0"/>
          <w:sz w:val="20"/>
          <w:sz w:val="20"/>
          <w:szCs w:val="20"/>
          <w:highlight w:val="white"/>
          <w:vertAlign w:val="baseline"/>
        </w:rPr>
        <w:t>este Contrato. O prazo de execução dos serviços terá início a partir da data determinada na Ordem de Serviço referente ao contrato e será igual ao número de dias estipulados no cronograma físico-financeiro.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13.1.1</w:t>
      </w:r>
      <w:r>
        <w:rPr>
          <w:rFonts w:eastAsia="Arial" w:cs="Arial" w:ascii="Arial" w:hAnsi="Arial"/>
          <w:b w:val="false"/>
          <w:i w:val="false"/>
          <w:caps w:val="false"/>
          <w:smallCaps w:val="false"/>
          <w:strike w:val="false"/>
          <w:dstrike w:val="false"/>
          <w:position w:val="0"/>
          <w:sz w:val="20"/>
          <w:sz w:val="20"/>
          <w:szCs w:val="20"/>
          <w:vertAlign w:val="baseline"/>
        </w:rPr>
        <w:t xml:space="preserve"> Para a assinatura da Ordem de Serviço, o CONTRATADO deverá apresentar os seguintes documentos:</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ART – Anotação de Responsabilidade Técnica do CREA ou RRT – Registro de Responsabilidade Técnica do CAU.</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ALVARÁ DE CONSTRUÇÃO, quando exigido pelo Município do local da obra/serviço de engenharia ou arquitetura, ou documento de não obrigatoriedade emitido pelo Município em que se localiza a obra ou serviço;</w:t>
      </w:r>
    </w:p>
    <w:p>
      <w:pPr>
        <w:pStyle w:val="Normal1"/>
        <w:shd w:val="clear" w:fill="FFFFFF"/>
        <w:spacing w:lineRule="auto" w:line="240" w:before="57" w:after="57"/>
        <w:ind w:hanging="0" w:left="567" w:right="0"/>
        <w:jc w:val="both"/>
        <w:rPr>
          <w:rFonts w:ascii="Arial" w:hAnsi="Arial"/>
          <w:sz w:val="20"/>
          <w:szCs w:val="20"/>
        </w:rPr>
      </w:pPr>
      <w:bookmarkStart w:id="14" w:name="_heading=h.1ksv4uv"/>
      <w:bookmarkEnd w:id="14"/>
      <w:r>
        <w:rPr>
          <w:rFonts w:eastAsia="Arial" w:cs="Arial" w:ascii="Arial" w:hAnsi="Arial"/>
          <w:b w:val="false"/>
          <w:i w:val="false"/>
          <w:caps w:val="false"/>
          <w:smallCaps w:val="false"/>
          <w:strike w:val="false"/>
          <w:dstrike w:val="false"/>
          <w:position w:val="0"/>
          <w:sz w:val="20"/>
          <w:sz w:val="20"/>
          <w:szCs w:val="20"/>
          <w:vertAlign w:val="baseline"/>
        </w:rPr>
        <w:t>c) MATRÍCULA DA OBRA OU SERVIÇO JUNTO À RECEITA FEDERAL – a matrícula CNO da obra deverá ser aberta junto à Receita Federal após a assinatura do contrato, independentemente da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APÓLICE DE SEGURO DE RISCOS DE ENGENHARIA, no caso de construções e ampliações;</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13.1.2.</w:t>
      </w:r>
      <w:r>
        <w:rPr>
          <w:rFonts w:eastAsia="Arial" w:cs="Arial" w:ascii="Arial" w:hAnsi="Arial"/>
          <w:b w:val="false"/>
          <w:i w:val="false"/>
          <w:caps w:val="false"/>
          <w:smallCaps w:val="false"/>
          <w:strike w:val="false"/>
          <w:dstrike w:val="false"/>
          <w:position w:val="0"/>
          <w:sz w:val="20"/>
          <w:sz w:val="20"/>
          <w:szCs w:val="20"/>
          <w:vertAlign w:val="baseline"/>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Ao término deste prazo, poderá ser repactuada entre as partes a continuidade da suspensão, desde que subsistentes os motivos que ensejaram a paralisação, a qual será formalizada mediante documento próprio.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13.1.3.</w:t>
      </w:r>
      <w:r>
        <w:rPr>
          <w:rFonts w:eastAsia="Arial" w:cs="Arial" w:ascii="Arial" w:hAnsi="Arial"/>
          <w:b w:val="false"/>
          <w:i w:val="false"/>
          <w:caps w:val="false"/>
          <w:smallCaps w:val="false"/>
          <w:strike w:val="false"/>
          <w:dstrike w:val="false"/>
          <w:position w:val="0"/>
          <w:sz w:val="20"/>
          <w:sz w:val="20"/>
          <w:szCs w:val="20"/>
          <w:vertAlign w:val="baseline"/>
        </w:rPr>
        <w:t xml:space="preserve"> Os motivos de força maior ou caso fortuito serão comunicados formalmente pelas partes e devidamente comprovados no prazo máximo de 48 (quarenta e oito) horas após a ocorrência.</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13.1.4.</w:t>
      </w:r>
      <w:r>
        <w:rPr>
          <w:rFonts w:eastAsia="Arial" w:cs="Arial" w:ascii="Arial" w:hAnsi="Arial"/>
          <w:b w:val="false"/>
          <w:i w:val="false"/>
          <w:caps w:val="false"/>
          <w:smallCaps w:val="false"/>
          <w:strike w:val="false"/>
          <w:dstrike w:val="false"/>
          <w:position w:val="0"/>
          <w:sz w:val="20"/>
          <w:sz w:val="20"/>
          <w:szCs w:val="20"/>
          <w:vertAlign w:val="baseline"/>
        </w:rPr>
        <w:t xml:space="preserve"> Os motivos de força maior ou caso fortuito serão analisados pela autoridade competente do CONTRATANTE.</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13.1.5.</w:t>
      </w:r>
      <w:r>
        <w:rPr>
          <w:rFonts w:eastAsia="Arial" w:cs="Arial" w:ascii="Arial" w:hAnsi="Arial"/>
          <w:b w:val="false"/>
          <w:i w:val="false"/>
          <w:caps w:val="false"/>
          <w:smallCaps w:val="false"/>
          <w:strike w:val="false"/>
          <w:dstrike w:val="false"/>
          <w:position w:val="0"/>
          <w:sz w:val="20"/>
          <w:sz w:val="20"/>
          <w:szCs w:val="20"/>
          <w:vertAlign w:val="baseline"/>
        </w:rPr>
        <w:t xml:space="preserve"> Reconhecidos os motivos de força maior ou caso fortuito que deram ensejo à paralisação, ocorrerá a suspensão do contrato, restituindo-se os prazos contratuais após a cessação dos motivos que suspenderam a execução do contrato.</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CONTRATANTE estabelecerá, para a execução dos contratos, prazo máximo, contado em dias corridos, conforme previsão no instrumento convocatório e/ou contratual.</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prazo de execução inicia-se na data estabelecida na Ordem de Serviço.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Pelo atraso no prazo de execução, ficará o CONTRATADO sujeito às penalidades fixadas na </w:t>
      </w:r>
      <w:r>
        <w:rPr>
          <w:rFonts w:eastAsia="Arial" w:cs="Arial" w:ascii="Arial" w:hAnsi="Arial"/>
          <w:b w:val="false"/>
          <w:i w:val="false"/>
          <w:caps w:val="false"/>
          <w:smallCaps w:val="false"/>
          <w:strike w:val="false"/>
          <w:dstrike w:val="false"/>
          <w:position w:val="0"/>
          <w:sz w:val="20"/>
          <w:sz w:val="20"/>
          <w:szCs w:val="20"/>
          <w:vertAlign w:val="baseline"/>
        </w:rPr>
        <w:t>Cláusula Décima Oitava</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deste contrato, independentemente de aviso extrajudicial ou interpelação judicial.</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Se o CONTRATADO deixar de assinar o aceite na Ordem de Serviço após 15 (quinze) dias, contados da data da convocação para assinatura, dar-se-á início à contagem do prazo de execução.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prazo para assinar o aceite da Ordem de Serviço poderá ser prorrogado por até 15 (quinze) dias mediante justificativa idônea aprovada pelo CONTRATANTE.</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13.2.5.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Se, imotivadamente, o CONTRATADO não iniciar os serviços em até 30 (trinta) dias da data estabelecida na Ordem de Serviço pela autoridade competente do CONTRATANTE o contrato poderá ser rescindido, sem prejuízo das penalidades cabíveis.</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prazo de execução do contrato é contado da data estabelecida na Ordem de Serviço e o de vigência inicia-se com a assinatura do contrato, sendo seu termo final 180 (cento e oitenta) dias após o término do prazo de execução, observados os iten</w:t>
      </w:r>
      <w:r>
        <w:rPr>
          <w:rFonts w:eastAsia="Arial" w:cs="Arial" w:ascii="Arial" w:hAnsi="Arial"/>
          <w:b w:val="false"/>
          <w:i w:val="false"/>
          <w:caps w:val="false"/>
          <w:smallCaps w:val="false"/>
          <w:strike w:val="false"/>
          <w:dstrike w:val="false"/>
          <w:position w:val="0"/>
          <w:sz w:val="20"/>
          <w:sz w:val="20"/>
          <w:szCs w:val="20"/>
          <w:vertAlign w:val="baseline"/>
        </w:rPr>
        <w:t>s 5.2 e 5.3 deste contrato.</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Caso o CONTRATANTE não convoque o CONTRATADO para assinatura do aceite da Ordem do Serviço, o termo final do prazo de vigência dar-se-á 180 (cento e oitenta) dias contados da assinatura do contrato.</w:t>
      </w:r>
    </w:p>
    <w:p>
      <w:pPr>
        <w:pStyle w:val="Normal1"/>
        <w:widowControl w:val="false"/>
        <w:shd w:val="clear" w:fill="FFFFFF"/>
        <w:tabs>
          <w:tab w:val="clear" w:pos="720"/>
          <w:tab w:val="left" w:pos="-63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13.5. </w:t>
      </w:r>
      <w:r>
        <w:rPr>
          <w:rFonts w:eastAsia="Arial" w:cs="Arial" w:ascii="Arial" w:hAnsi="Arial"/>
          <w:b w:val="false"/>
          <w:i w:val="false"/>
          <w:caps w:val="false"/>
          <w:smallCaps w:val="false"/>
          <w:strike w:val="false"/>
          <w:dstrike w:val="false"/>
          <w:position w:val="0"/>
          <w:sz w:val="20"/>
          <w:sz w:val="20"/>
          <w:szCs w:val="20"/>
          <w:highlight w:val="white"/>
          <w:vertAlign w:val="baseline"/>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Alteração do projeto ou especificações pelo CONTRATANTE;</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Superveniência de fato excepcional ou imprevisível, estranho à vontade das partes, que altere fundamentalmente as condições de execução do contrato;</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Interrupção da execução do contrato ou diminuição do ritmo de trabalho, por ordem e no interesse do CONTRATANTE;</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Alteração das quantidades inicialmente previstas no contrato nos limites permitidos pela Lei;</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Impedimento de execução do contrato, por fato ou ato de terceiro, reconhecido pelo CONTRATANTE em documento contemporâneo à sua ocorrência;</w:t>
      </w:r>
    </w:p>
    <w:p>
      <w:pPr>
        <w:pStyle w:val="Normal1"/>
        <w:widowControl w:val="false"/>
        <w:shd w:val="clear" w:fill="FFFFFF"/>
        <w:tabs>
          <w:tab w:val="clear" w:pos="720"/>
          <w:tab w:val="left" w:pos="-9666" w:leader="none"/>
        </w:tabs>
        <w:spacing w:lineRule="auto" w:line="240" w:before="57" w:after="0"/>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13.5.6.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Omissão ou atraso de providências a cargo do CONTRATANTE, inclusive quanto aos pagamentos previstos, de que resulte, diretamente, impedimento ou retardamento na execução do contrato.</w:t>
      </w:r>
    </w:p>
    <w:p>
      <w:pPr>
        <w:pStyle w:val="Normal1"/>
        <w:widowControl w:val="false"/>
        <w:shd w:val="clear" w:fill="FFFFFF"/>
        <w:tabs>
          <w:tab w:val="clear" w:pos="720"/>
          <w:tab w:val="left" w:pos="-9949" w:leader="none"/>
        </w:tabs>
        <w:spacing w:lineRule="auto" w:line="240" w:before="57"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13.6.1. </w:t>
      </w:r>
      <w:r>
        <w:rPr>
          <w:rFonts w:eastAsia="Arial" w:cs="Arial" w:ascii="Arial" w:hAnsi="Arial"/>
          <w:b w:val="false"/>
          <w:i w:val="false"/>
          <w:caps w:val="false"/>
          <w:smallCaps w:val="false"/>
          <w:strike w:val="false"/>
          <w:dstrike w:val="false"/>
          <w:position w:val="0"/>
          <w:sz w:val="20"/>
          <w:sz w:val="20"/>
          <w:szCs w:val="20"/>
          <w:highlight w:val="white"/>
          <w:vertAlign w:val="baseline"/>
        </w:rPr>
        <w:t>Requerido aditivo contratual em que seja necessário readequação do cronograma físico-financeiro, o prazo de execução ficará automaticamente suspenso da data do encerramento do prazo a aditar até a assinatura do Termo Aditivo, devendo ser documentada a suspensão no cronograma físico-financeiro constante nos autos do processo administrativo;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r>
        <w:rPr>
          <w:rFonts w:eastAsia="Arial" w:cs="Arial" w:ascii="Arial" w:hAnsi="Arial"/>
          <w:b/>
          <w:i w:val="false"/>
          <w:caps w:val="false"/>
          <w:smallCaps w:val="false"/>
          <w:strike w:val="false"/>
          <w:dstrike w:val="false"/>
          <w:position w:val="0"/>
          <w:sz w:val="20"/>
          <w:sz w:val="20"/>
          <w:szCs w:val="20"/>
          <w:highlight w:val="white"/>
          <w:vertAlign w:val="baseline"/>
        </w:rPr>
        <w:t>3.6.2.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mera solicitação de aditivo contratual não suspende o prazo de vigência;</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13.6.3.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do subitem 13.6.1, caso seja indeferido o pedido de aditamento do contrato, o prazo não se considerará suspenso;</w:t>
      </w:r>
    </w:p>
    <w:p>
      <w:pPr>
        <w:pStyle w:val="Normal1"/>
        <w:widowControl w:val="false"/>
        <w:shd w:val="clear" w:fill="FFFFFF"/>
        <w:tabs>
          <w:tab w:val="clear" w:pos="720"/>
          <w:tab w:val="left" w:pos="-9666" w:leader="none"/>
        </w:tabs>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13.6.4.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prorrogação do prazo de execução, deverá ser elaborado novo cronograma físico-financeiro pelo CONTRATADO, com as alterações necessárias, incluindo-se as parcelas faturadas e a faturar, condicionado à análise e aprovação do CONTRATANTE.</w:t>
      </w:r>
    </w:p>
    <w:p>
      <w:pPr>
        <w:pStyle w:val="Normal1"/>
        <w:widowControl w:val="false"/>
        <w:shd w:val="clear" w:fill="FFFFFF"/>
        <w:tabs>
          <w:tab w:val="clear" w:pos="720"/>
          <w:tab w:val="left" w:pos="851"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 CLÁUSULA DÉCIMA QUARTA – DA RESPONSABILIDADE TÉCNICA.</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14.1.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CONTRATADO deverá apresentar ao CONTRATANTE as Anotações de Responsabilidade Técnica – ART's, ou Registro de Responsabilidade Técnica – RRT’s, dos responsáveis técnicos pela execução da obra ou serviço contratados antes do início do prazo de execução;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14.2.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substituição do responsável técnico somente poderá ocorrer mediante prévia autorização por escrito do CONTRATANTE, devendo o novo responsável técnico atender às exigências editalícias.</w:t>
      </w:r>
    </w:p>
    <w:p>
      <w:pPr>
        <w:pStyle w:val="Normal1"/>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15. CLÁUSULA DÉCIMA QUINTA – DA SEGURANÇA DO TRABALHO</w:t>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Ministério do Trabalho;</w:t>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CONTRATANTE poderá, a seu critério, determinar a paralisação da obra quando julgar que as condições mínimas de segurança e higiene do trabalho não estão sendo observadas pelo CONTRATADO. Este procedimento não servirá como justificativa para eventuais atrasos.</w:t>
      </w:r>
    </w:p>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 CLÁUSULA DÉCIMA SEXTA – DA EXECUÇÃO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deverá, às suas expensas, reparar, corrigir, reconstruir, substituir, demolir ou refazer quaisquer partes da obra ou serviços que, a juízo da fiscalização, não tenham sido executadas de acordo com o estipulado no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se obriga a:</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Assegurar, durante a execução da obra ou serviços, proteção e conservação dos serviços executados, de forma que seja mantida sua integridade;</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Executar imediatamente os reparos que se fizerem necessários nos serviços de sua responsabilidade, independentemente das penalidades cabíveis;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Permitir e facilitar à fiscalização a inspeção do local da obra a qualquer dia ou hora, devendo prestar todos os informes e esclarecimentos solicitados por esta, pertençam seus fiscalizadores ao CONTRATANTE ou a terceiros por estes credenciados;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Notificar a fiscalização, com 48 (quarenta e oito) horas de antecedência, no mínimo, da concretagem de fundações ou de elementos armados de estrutura, e do início dos testes de operação das instalações elétricas, mecânicas e hidráulicas;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Providenciar a legalização das obras ou serviços junto aos órgãos competentes, por sua conta e responsabilidade, quando necessário;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Proceder, às suas expensas, quando couber, o “as built” (como construído), isto é, as anotações e registros nos projetos originais das alterações havidas na execução da obra, conforme NBR 14645-3, para fins de ordenação do cadastro técnico do CONTRATANTE;</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16.3.8.</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Zelar pela integridade dos bens vinculados às atividades de obra e/ou prestação de serviços.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16.3.9.</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Cumprir as exigências de reserva de cargos prevista em lei, bem como em outras normas  específicas, para pessoa com deficiência, para reabilitado da Previdência Social e para aprendiz</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é responsável pelos danos causados decorrentes de sua culpa ou dolo na execução do contrato.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16.4.1. </w:t>
      </w:r>
      <w:r>
        <w:rPr>
          <w:rFonts w:eastAsia="Arial" w:cs="Arial" w:ascii="Arial" w:hAnsi="Arial"/>
          <w:b w:val="false"/>
          <w:i w:val="false"/>
          <w:caps w:val="false"/>
          <w:smallCaps w:val="false"/>
          <w:strike w:val="false"/>
          <w:dstrike w:val="false"/>
          <w:position w:val="0"/>
          <w:sz w:val="20"/>
          <w:sz w:val="20"/>
          <w:szCs w:val="20"/>
          <w:vertAlign w:val="baseline"/>
        </w:rPr>
        <w:t>O CONTRATADO responderá durante 5 (cinco) anos pela solidez e segurança do trabalho, assim em razão dos materiais, nos termos do artigo 618 do Código Civil Brasileiro.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é responsável pelos encargos trabalhistas, previdenciários, fiscais e comerciais resultantes do contrato.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inadimplência do CONTRATADO quanto a esses encargos não transfere ao CONTRATANTE a responsabilidade por seu pagamento, nem poderá onerar o objeto ajustado ou restringir a regularização e uso das edificações, inclusive perante o Registro de Imóveis.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16.5.2.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16.5.3.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Para garantir os riscos contra sinistros, o CONTRATADO segurará a obra nova e as ampliações, majorando, progressivamente, o valor desse seguro, antes de cada prestação e entregará a apólice inicial e as adicionais ao CONTRATANTE, a qual ficará investida de poderes "</w:t>
      </w:r>
      <w:r>
        <w:rPr>
          <w:rFonts w:eastAsia="Arial" w:cs="Arial" w:ascii="Arial" w:hAnsi="Arial"/>
          <w:b w:val="false"/>
          <w:i/>
          <w:caps w:val="false"/>
          <w:smallCaps w:val="false"/>
          <w:strike w:val="false"/>
          <w:dstrike w:val="false"/>
          <w:position w:val="0"/>
          <w:sz w:val="20"/>
          <w:sz w:val="20"/>
          <w:szCs w:val="20"/>
          <w:highlight w:val="white"/>
          <w:vertAlign w:val="baseline"/>
        </w:rPr>
        <w:t>in ren propriem"</w:t>
      </w:r>
      <w:r>
        <w:rPr>
          <w:rFonts w:eastAsia="Arial" w:cs="Arial" w:ascii="Arial" w:hAnsi="Arial"/>
          <w:b w:val="false"/>
          <w:i w:val="false"/>
          <w:caps w:val="false"/>
          <w:smallCaps w:val="false"/>
          <w:strike w:val="false"/>
          <w:dstrike w:val="false"/>
          <w:position w:val="0"/>
          <w:sz w:val="20"/>
          <w:sz w:val="20"/>
          <w:szCs w:val="20"/>
          <w:highlight w:val="white"/>
          <w:vertAlign w:val="baseline"/>
        </w:rPr>
        <w:t>, para receber da companhia seguradora a indenização em caso de sinistro, reembolsando-se das prestações já entregues à CONTRATADA e restituindo-lhe o remanescente, se houver.</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16.5.4.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seguro será contratado pelo valor de reposição das obras, aí considerados quaisquer valores que o CONTRATANTE já houver pago à CONTRATADA, a qualquer título, não só as parcelas contratuais, mas também eventuais reajustamentos e serviços extraordinários.</w:t>
      </w:r>
    </w:p>
    <w:p>
      <w:pPr>
        <w:pStyle w:val="Normal"/>
        <w:widowControl w:val="false"/>
        <w:shd w:val="clear" w:color="auto" w:fill="FFFFFF"/>
        <w:tabs>
          <w:tab w:val="clear" w:pos="720"/>
          <w:tab w:val="left" w:pos="-7200" w:leader="none"/>
          <w:tab w:val="left" w:pos="-6207" w:leader="none"/>
        </w:tabs>
        <w:spacing w:before="57" w:after="57"/>
        <w:jc w:val="both"/>
        <w:rPr>
          <w:highlight w:val="none"/>
          <w:shd w:fill="auto" w:val="clear"/>
        </w:rPr>
      </w:pPr>
      <w:r>
        <w:rPr>
          <w:rFonts w:ascii="Arial" w:hAnsi="Arial"/>
          <w:b/>
          <w:bCs/>
          <w:color w:val="FF0000"/>
          <w:sz w:val="20"/>
          <w:szCs w:val="20"/>
          <w:shd w:fill="auto" w:val="clear"/>
        </w:rPr>
        <w:t>16.6.</w:t>
      </w:r>
      <w:r>
        <w:rPr>
          <w:rFonts w:ascii="Arial" w:hAnsi="Arial"/>
          <w:color w:val="FF0000"/>
          <w:sz w:val="20"/>
          <w:szCs w:val="20"/>
          <w:shd w:fill="auto" w:val="clear"/>
        </w:rPr>
        <w:t xml:space="preserve"> O CONTRATADO poderá subcontratar parte da obra ou serviços, mediante consulta e aprovação prévia do CONTRATANTE, sem que tal aprovação implique qualquer aceitação de transferência de responsabilidade.</w:t>
      </w:r>
    </w:p>
    <w:p>
      <w:pPr>
        <w:pStyle w:val="Normal"/>
        <w:widowControl w:val="false"/>
        <w:shd w:val="clear" w:color="auto" w:fill="FFFFFF"/>
        <w:tabs>
          <w:tab w:val="clear" w:pos="720"/>
          <w:tab w:val="left" w:pos="-10234" w:leader="none"/>
          <w:tab w:val="left" w:pos="-9241" w:leader="none"/>
        </w:tabs>
        <w:spacing w:before="57" w:after="57"/>
        <w:ind w:left="283"/>
        <w:jc w:val="both"/>
        <w:rPr>
          <w:highlight w:val="none"/>
          <w:shd w:fill="auto" w:val="clear"/>
        </w:rPr>
      </w:pPr>
      <w:r>
        <w:rPr>
          <w:rFonts w:ascii="Arial" w:hAnsi="Arial"/>
          <w:b/>
          <w:bCs/>
          <w:color w:val="FF0000"/>
          <w:sz w:val="20"/>
          <w:szCs w:val="20"/>
          <w:shd w:fill="auto" w:val="clear"/>
        </w:rPr>
        <w:t>16.6.1.</w:t>
      </w:r>
      <w:r>
        <w:rPr>
          <w:rFonts w:ascii="Arial" w:hAnsi="Arial"/>
          <w:color w:val="FF0000"/>
          <w:sz w:val="20"/>
          <w:szCs w:val="20"/>
          <w:shd w:fill="auto" w:val="clear"/>
        </w:rPr>
        <w:t xml:space="preserve"> A subcontratação poderá ser feita quando se identifique que não é usual no mercado a existência de empresas que executem de forma integral o objeto pretendido pela Administração, ou quando for usual no mercado próprio a subcontratação de determinados serviços.</w:t>
      </w:r>
    </w:p>
    <w:p>
      <w:pPr>
        <w:pStyle w:val="Normal"/>
        <w:widowControl w:val="false"/>
        <w:shd w:val="clear" w:color="auto" w:fill="FFFFFF"/>
        <w:tabs>
          <w:tab w:val="clear" w:pos="720"/>
          <w:tab w:val="left" w:pos="-10234" w:leader="none"/>
          <w:tab w:val="left" w:pos="-9241" w:leader="none"/>
        </w:tabs>
        <w:spacing w:before="57" w:after="57"/>
        <w:ind w:left="283"/>
        <w:jc w:val="both"/>
        <w:rPr>
          <w:highlight w:val="none"/>
          <w:shd w:fill="auto" w:val="clear"/>
        </w:rPr>
      </w:pPr>
      <w:bookmarkStart w:id="15" w:name="_GoBack"/>
      <w:r>
        <w:rPr>
          <w:rFonts w:ascii="Arial" w:hAnsi="Arial"/>
          <w:b/>
          <w:bCs/>
          <w:color w:val="FF0000"/>
          <w:sz w:val="20"/>
          <w:szCs w:val="20"/>
          <w:shd w:fill="auto" w:val="clear"/>
        </w:rPr>
        <w:t>16.6.2.</w:t>
      </w:r>
      <w:r>
        <w:rPr>
          <w:rFonts w:ascii="Arial" w:hAnsi="Arial"/>
          <w:color w:val="FF0000"/>
          <w:sz w:val="20"/>
          <w:szCs w:val="20"/>
          <w:shd w:fill="auto" w:val="clear"/>
        </w:rPr>
        <w:t xml:space="preserve"> Não poderão ser subcontratadas parcelas do objeto para as quais foi exigida, como requisito de habilitação técnico-operacional, a apresentação de atestados que comprovem execução de serviço com características semelhantes;</w:t>
      </w:r>
      <w:bookmarkEnd w:id="15"/>
    </w:p>
    <w:p>
      <w:pPr>
        <w:pStyle w:val="Normal"/>
        <w:widowControl w:val="false"/>
        <w:shd w:val="clear" w:color="auto" w:fill="FFFFFF"/>
        <w:tabs>
          <w:tab w:val="clear" w:pos="720"/>
          <w:tab w:val="left" w:pos="-10234" w:leader="none"/>
          <w:tab w:val="left" w:pos="-9241" w:leader="none"/>
        </w:tabs>
        <w:spacing w:before="57" w:after="57"/>
        <w:ind w:left="283"/>
        <w:jc w:val="both"/>
        <w:rPr>
          <w:highlight w:val="none"/>
          <w:shd w:fill="auto" w:val="clear"/>
        </w:rPr>
      </w:pPr>
      <w:r>
        <w:rPr>
          <w:rFonts w:ascii="Arial" w:hAnsi="Arial"/>
          <w:b/>
          <w:bCs/>
          <w:color w:val="FF0000"/>
          <w:sz w:val="20"/>
          <w:szCs w:val="20"/>
          <w:shd w:fill="auto" w:val="clear"/>
        </w:rPr>
        <w:t>16.6.3.</w:t>
      </w:r>
      <w:r>
        <w:rPr>
          <w:rFonts w:ascii="Arial" w:hAnsi="Arial"/>
          <w:color w:val="FF0000"/>
          <w:sz w:val="20"/>
          <w:szCs w:val="20"/>
          <w:shd w:fill="auto" w:val="clear"/>
        </w:rPr>
        <w:t xml:space="preserve"> As subcontratadas deverão obedecer rigorosamente ao contrato e partes integrantes, subsistindo perante o CONTRATANTE a integral responsabilidade do CONTRATADO, não podendo esta relação jurídico econômica servir de justificativa para eximir-se das medidas de controle da execução.</w:t>
      </w:r>
    </w:p>
    <w:p>
      <w:pPr>
        <w:pStyle w:val="Normal"/>
        <w:widowControl w:val="false"/>
        <w:shd w:val="clear" w:color="auto" w:fill="FFFFFF"/>
        <w:tabs>
          <w:tab w:val="clear" w:pos="720"/>
          <w:tab w:val="left" w:pos="-10234" w:leader="none"/>
          <w:tab w:val="left" w:pos="-9241" w:leader="none"/>
        </w:tabs>
        <w:spacing w:before="57" w:after="57"/>
        <w:ind w:left="283"/>
        <w:jc w:val="both"/>
        <w:rPr>
          <w:rFonts w:ascii="Arial" w:hAnsi="Arial"/>
          <w:sz w:val="20"/>
          <w:szCs w:val="20"/>
        </w:rPr>
      </w:pPr>
      <w:r>
        <w:rPr>
          <w:rFonts w:ascii="Arial" w:hAnsi="Arial"/>
          <w:sz w:val="20"/>
          <w:szCs w:val="20"/>
        </w:rPr>
      </w:r>
    </w:p>
    <w:tbl>
      <w:tblPr>
        <w:tblW w:w="9075" w:type="dxa"/>
        <w:jc w:val="left"/>
        <w:tblInd w:w="29" w:type="dxa"/>
        <w:tblLayout w:type="fixed"/>
        <w:tblCellMar>
          <w:top w:w="55" w:type="dxa"/>
          <w:left w:w="55" w:type="dxa"/>
          <w:bottom w:w="55" w:type="dxa"/>
          <w:right w:w="55" w:type="dxa"/>
        </w:tblCellMar>
        <w:tblLook w:firstRow="1" w:noVBand="1" w:lastRow="0" w:firstColumn="1" w:lastColumn="0" w:noHBand="0" w:val="04a0"/>
      </w:tblPr>
      <w:tblGrid>
        <w:gridCol w:w="9075"/>
      </w:tblGrid>
      <w:tr>
        <w:trPr>
          <w:trHeight w:val="3163" w:hRule="atLeast"/>
        </w:trPr>
        <w:tc>
          <w:tcPr>
            <w:tcW w:w="9075" w:type="dxa"/>
            <w:tcBorders>
              <w:top w:val="single" w:sz="2" w:space="0" w:color="000000"/>
              <w:left w:val="single" w:sz="2" w:space="0" w:color="000000"/>
              <w:bottom w:val="single" w:sz="2" w:space="0" w:color="000000"/>
              <w:right w:val="single" w:sz="2" w:space="0" w:color="000000"/>
            </w:tcBorders>
            <w:shd w:color="auto" w:fill="FFFF00" w:val="clear"/>
            <w:vAlign w:val="center"/>
          </w:tcPr>
          <w:p>
            <w:pPr>
              <w:pStyle w:val="Recuodecorpodetexto21"/>
              <w:shd w:val="clear" w:color="auto" w:fill="FFFF00"/>
              <w:spacing w:before="57" w:after="57"/>
              <w:ind w:hanging="0" w:left="0" w:right="0"/>
              <w:rPr>
                <w:rFonts w:ascii="Arial" w:hAnsi="Arial"/>
                <w:sz w:val="20"/>
                <w:szCs w:val="20"/>
              </w:rPr>
            </w:pPr>
            <w:r>
              <w:rPr>
                <w:b/>
                <w:bCs/>
                <w:color w:val="000000"/>
                <w:sz w:val="20"/>
                <w:szCs w:val="20"/>
              </w:rPr>
              <w:t xml:space="preserve">Nota explicativa </w:t>
            </w:r>
            <w:r>
              <w:rPr>
                <w:b/>
                <w:bCs/>
                <w:color w:val="000000"/>
                <w:sz w:val="20"/>
                <w:szCs w:val="20"/>
              </w:rPr>
              <w:fldChar w:fldCharType="begin"/>
            </w:r>
            <w:r>
              <w:rPr>
                <w:sz w:val="20"/>
                <w:b/>
                <w:szCs w:val="20"/>
                <w:bCs/>
                <w:color w:val="000000"/>
              </w:rPr>
              <w:instrText xml:space="preserve"> SEQ Desenho \* ARABIC </w:instrText>
            </w:r>
            <w:r>
              <w:rPr>
                <w:sz w:val="20"/>
                <w:b/>
                <w:szCs w:val="20"/>
                <w:bCs/>
                <w:color w:val="000000"/>
              </w:rPr>
              <w:fldChar w:fldCharType="separate"/>
            </w:r>
            <w:r>
              <w:rPr>
                <w:sz w:val="20"/>
                <w:b/>
                <w:szCs w:val="20"/>
                <w:bCs/>
                <w:color w:val="000000"/>
              </w:rPr>
              <w:t>35</w:t>
            </w:r>
            <w:r>
              <w:rPr>
                <w:sz w:val="20"/>
                <w:b/>
                <w:szCs w:val="20"/>
                <w:bCs/>
                <w:color w:val="000000"/>
              </w:rPr>
              <w:fldChar w:fldCharType="end"/>
            </w:r>
            <w:r>
              <w:rPr>
                <w:b/>
                <w:bCs/>
                <w:color w:val="000000"/>
                <w:sz w:val="20"/>
                <w:szCs w:val="20"/>
              </w:rPr>
              <w:t>:</w:t>
            </w:r>
          </w:p>
          <w:p>
            <w:pPr>
              <w:pStyle w:val="Normal"/>
              <w:shd w:val="clear" w:color="auto" w:fill="FFFF00"/>
              <w:spacing w:before="57" w:after="57"/>
              <w:jc w:val="both"/>
              <w:rPr>
                <w:rFonts w:ascii="Arial" w:hAnsi="Arial"/>
                <w:sz w:val="20"/>
                <w:szCs w:val="20"/>
              </w:rPr>
            </w:pPr>
            <w:r>
              <w:rPr>
                <w:rFonts w:ascii="Arial" w:hAnsi="Arial"/>
                <w:b/>
                <w:bCs/>
                <w:color w:val="000000"/>
                <w:sz w:val="20"/>
                <w:szCs w:val="20"/>
              </w:rPr>
              <w:t>(Obs. As notas explicativas são meramente orientativas. Portanto, devem ser excluídas do edital a ser publicado)</w:t>
            </w:r>
          </w:p>
          <w:p>
            <w:pPr>
              <w:pStyle w:val="Normal"/>
              <w:shd w:val="clear" w:color="auto" w:fill="FFFF00"/>
              <w:spacing w:before="57" w:after="57"/>
              <w:jc w:val="both"/>
              <w:rPr>
                <w:rFonts w:ascii="Arial" w:hAnsi="Arial"/>
                <w:b/>
                <w:bCs/>
                <w:color w:val="000000"/>
                <w:sz w:val="20"/>
                <w:szCs w:val="20"/>
              </w:rPr>
            </w:pPr>
            <w:r>
              <w:rPr>
                <w:rFonts w:ascii="Arial" w:hAnsi="Arial"/>
                <w:b/>
                <w:bCs/>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A subcontratação parcial é permitida e deverá ser analisada pela Administração com base nas informações </w:t>
            </w:r>
            <w:r>
              <w:rPr>
                <w:rFonts w:ascii="Arial" w:hAnsi="Arial"/>
                <w:color w:val="000000"/>
                <w:sz w:val="20"/>
                <w:szCs w:val="20"/>
                <w:lang w:eastAsia="en-US"/>
              </w:rPr>
              <w:t>contidas no estudo técnico preliminar</w:t>
            </w:r>
            <w:r>
              <w:rPr>
                <w:rFonts w:ascii="Arial" w:hAnsi="Arial"/>
                <w:color w:val="000000"/>
                <w:sz w:val="20"/>
                <w:szCs w:val="20"/>
              </w:rPr>
              <w:t>, em cada caso concreto. Caso admitida, devem ficar definidas no contrato quais as parcelas do objeto aptas a serem subcontratadas, assim como quais os seus limites e condições, conforme disposição do art. 167, § 4º, do Decreto Estadual nº 10.086/2022.</w:t>
            </w:r>
          </w:p>
          <w:p>
            <w:pPr>
              <w:pStyle w:val="Normal"/>
              <w:shd w:val="clear" w:fill="FFFF00"/>
              <w:spacing w:before="57" w:after="57"/>
              <w:jc w:val="both"/>
              <w:rPr>
                <w:rFonts w:ascii="Arial" w:hAnsi="Arial"/>
                <w:sz w:val="20"/>
                <w:szCs w:val="20"/>
              </w:rPr>
            </w:pPr>
            <w:r>
              <w:rPr>
                <w:rFonts w:ascii="Arial" w:hAnsi="Arial"/>
                <w:color w:val="000000"/>
                <w:sz w:val="20"/>
                <w:szCs w:val="20"/>
              </w:rPr>
              <w:t xml:space="preserve">Preferencialmente, caso seja permitida a subcontratação, deverão ser indicadas as parcelas a serem subcontratadas. Desse modo, deverá ser adicionado o item </w:t>
            </w:r>
            <w:r>
              <w:rPr>
                <w:rFonts w:ascii="Arial" w:hAnsi="Arial"/>
                <w:b/>
                <w:bCs/>
                <w:color w:val="000000"/>
                <w:sz w:val="20"/>
                <w:szCs w:val="20"/>
              </w:rPr>
              <w:t>16.6.4</w:t>
            </w:r>
            <w:r>
              <w:rPr>
                <w:rFonts w:ascii="Arial" w:hAnsi="Arial"/>
                <w:color w:val="000000"/>
                <w:sz w:val="20"/>
                <w:szCs w:val="20"/>
              </w:rPr>
              <w:t>, com o seguinte texto:</w:t>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rPr>
              <w:t>16.6.4.</w:t>
            </w:r>
            <w:r>
              <w:rPr>
                <w:rFonts w:ascii="Arial" w:hAnsi="Arial"/>
                <w:color w:val="000000"/>
                <w:sz w:val="20"/>
                <w:szCs w:val="20"/>
              </w:rPr>
              <w:t xml:space="preserve"> O CONTRATADO poderá subcontratar parte da obra ou serviços, referente(s) à(s) seguinte(s) parcela(s):</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a)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b)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c)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d) (Especificar qual parcela do objeto poderá ser subcontratada);</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rPr>
              <w:t>e) (Especificar qual parcela do objeto poderá ser subcontratada);</w:t>
            </w:r>
          </w:p>
          <w:p>
            <w:pPr>
              <w:pStyle w:val="Normal"/>
              <w:shd w:val="clear" w:color="auto"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Caso não seja possível definir quais as parcelas serão subcontratadas, há a possibilidade de que se  defina o limite em relação ao valor total, em termos percentuais, que poderá ser subcontratado. Neste sentido, deverá ser adotada a seguinte redação para o item </w:t>
            </w:r>
            <w:r>
              <w:rPr>
                <w:rFonts w:ascii="Arial" w:hAnsi="Arial"/>
                <w:b/>
                <w:bCs/>
                <w:color w:val="000000"/>
                <w:sz w:val="20"/>
                <w:szCs w:val="20"/>
              </w:rPr>
              <w:t>16.6.4</w:t>
            </w:r>
            <w:r>
              <w:rPr>
                <w:rFonts w:ascii="Arial" w:hAnsi="Arial"/>
                <w:color w:val="000000"/>
                <w:sz w:val="20"/>
                <w:szCs w:val="20"/>
              </w:rPr>
              <w:t>:</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rPr>
              <w:t xml:space="preserve">16.6.4. </w:t>
            </w:r>
            <w:r>
              <w:rPr>
                <w:rFonts w:ascii="Arial" w:hAnsi="Arial"/>
                <w:color w:val="000000"/>
                <w:sz w:val="20"/>
                <w:szCs w:val="20"/>
              </w:rPr>
              <w:t>O CONTRATADO poderá subcontratar parte da obra ou serviços, até o limite de xx,xx% (xxxx por cento) do valor total.</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b/>
                <w:bCs/>
                <w:color w:val="000000"/>
                <w:sz w:val="20"/>
                <w:szCs w:val="20"/>
                <w:u w:val="single"/>
              </w:rPr>
              <w:t>Caso seja aventada a subcontratação de parte passível de qualificação técnica</w:t>
            </w:r>
            <w:r>
              <w:rPr>
                <w:rFonts w:ascii="Arial" w:hAnsi="Arial"/>
                <w:color w:val="000000"/>
                <w:sz w:val="20"/>
                <w:szCs w:val="20"/>
              </w:rPr>
              <w:t xml:space="preserve">, deverá constar na minuta contratual a descrição da capacidade técnica a ser exigida das subcontratadas, assim como a documentação que servirá para comprovar essa capacidade técnica do subcontratado. Neste sentido, o item </w:t>
            </w:r>
            <w:r>
              <w:rPr>
                <w:rFonts w:ascii="Arial" w:hAnsi="Arial"/>
                <w:b/>
                <w:bCs/>
                <w:color w:val="000000"/>
                <w:sz w:val="20"/>
                <w:szCs w:val="20"/>
              </w:rPr>
              <w:t>16.6.2</w:t>
            </w:r>
            <w:r>
              <w:rPr>
                <w:rFonts w:ascii="Arial" w:hAnsi="Arial"/>
                <w:color w:val="000000"/>
                <w:sz w:val="20"/>
                <w:szCs w:val="20"/>
              </w:rPr>
              <w:t xml:space="preserve"> deverá ser substituído pelo seguinte texto:</w:t>
            </w:r>
          </w:p>
          <w:p>
            <w:pPr>
              <w:pStyle w:val="Normal"/>
              <w:shd w:val="clear" w:color="auto" w:fill="FFFF00"/>
              <w:spacing w:before="57" w:after="57"/>
              <w:ind w:left="283"/>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ind w:left="283"/>
              <w:jc w:val="both"/>
              <w:rPr>
                <w:rFonts w:ascii="Arial" w:hAnsi="Arial"/>
                <w:sz w:val="20"/>
                <w:szCs w:val="20"/>
              </w:rPr>
            </w:pPr>
            <w:r>
              <w:rPr>
                <w:rFonts w:ascii="Arial" w:hAnsi="Arial"/>
                <w:b/>
                <w:bCs/>
                <w:color w:val="000000"/>
                <w:sz w:val="20"/>
                <w:szCs w:val="20"/>
                <w:shd w:fill="FFFF00" w:val="clear"/>
              </w:rPr>
              <w:t xml:space="preserve">16.6.2. </w:t>
            </w:r>
            <w:r>
              <w:rPr>
                <w:rFonts w:ascii="Arial" w:hAnsi="Arial"/>
                <w:color w:val="000000"/>
                <w:sz w:val="20"/>
                <w:szCs w:val="20"/>
                <w:shd w:fill="FFFF00" w:val="clear"/>
              </w:rPr>
              <w:t>O CONTRATADO deverá apresentar ao CONTRATANTE a seguinte documentação que comprove a capacidade técnica do subcontratado, que será avaliada e juntada aos autos do processo correspondente:</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a)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sz w:val="20"/>
                <w:szCs w:val="20"/>
                <w:shd w:fill="FFFF00" w:val="clear"/>
              </w:rPr>
              <w:t xml:space="preserve">b) </w:t>
            </w:r>
            <w:r>
              <w:rPr>
                <w:rFonts w:ascii="Arial" w:hAnsi="Arial"/>
                <w:color w:val="000000"/>
                <w:sz w:val="20"/>
                <w:szCs w:val="20"/>
                <w:shd w:fill="FFFF00" w:val="clear"/>
              </w:rPr>
              <w:t>(preencher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c)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d) (preencher quais documentos serão exigidos para comprovação da capacidade técnica do subcontratado);</w:t>
            </w:r>
          </w:p>
          <w:p>
            <w:pPr>
              <w:pStyle w:val="Normal"/>
              <w:shd w:val="clear" w:color="auto" w:fill="FFFF00"/>
              <w:spacing w:before="57" w:after="57"/>
              <w:ind w:left="283"/>
              <w:jc w:val="both"/>
              <w:rPr>
                <w:rFonts w:ascii="Arial" w:hAnsi="Arial"/>
                <w:sz w:val="20"/>
                <w:szCs w:val="20"/>
              </w:rPr>
            </w:pPr>
            <w:r>
              <w:rPr>
                <w:rFonts w:ascii="Arial" w:hAnsi="Arial"/>
                <w:color w:val="000000"/>
                <w:sz w:val="20"/>
                <w:szCs w:val="20"/>
                <w:shd w:fill="FFFF00" w:val="clear"/>
              </w:rPr>
              <w:t>e) (preencher quais documentos serão exigidos para comprovação da capacidade técnica do subcontratado).</w:t>
            </w:r>
          </w:p>
          <w:p>
            <w:pPr>
              <w:pStyle w:val="Normal"/>
              <w:shd w:val="clear" w:color="auto" w:fill="FFFF00"/>
              <w:spacing w:before="57" w:after="57"/>
              <w:jc w:val="both"/>
              <w:rPr>
                <w:rFonts w:ascii="Arial" w:hAnsi="Arial"/>
                <w:sz w:val="20"/>
                <w:szCs w:val="20"/>
              </w:rPr>
            </w:pPr>
            <w:r>
              <w:rPr>
                <w:rFonts w:ascii="Arial" w:hAnsi="Arial"/>
                <w:color w:val="000000"/>
                <w:sz w:val="20"/>
                <w:szCs w:val="20"/>
              </w:rPr>
              <w:t>Deve haver na instrução do procedimento licitatório as devidas justificativas técnicas da subcontratação. Além disso, caso seja cobrada a comprovação de capacidade técnica da subcontratada, deverá restar justificado o motivo da exigência da respectiva capacidade técnica de cada parcela do objeto ou em relação ao percentual limite para a subcontratação.</w:t>
            </w:r>
          </w:p>
          <w:p>
            <w:pPr>
              <w:pStyle w:val="Normal"/>
              <w:shd w:val="clear" w:color="auto" w:fill="FFFF00"/>
              <w:spacing w:before="57" w:after="57"/>
              <w:jc w:val="both"/>
              <w:rPr>
                <w:rFonts w:ascii="Arial" w:hAnsi="Arial"/>
                <w:color w:val="000000"/>
                <w:sz w:val="20"/>
                <w:szCs w:val="20"/>
              </w:rPr>
            </w:pPr>
            <w:r>
              <w:rPr>
                <w:rFonts w:ascii="Arial" w:hAnsi="Arial"/>
                <w:color w:val="000000"/>
                <w:sz w:val="20"/>
                <w:szCs w:val="20"/>
              </w:rPr>
            </w:r>
          </w:p>
          <w:p>
            <w:pPr>
              <w:pStyle w:val="Normal"/>
              <w:shd w:val="clear" w:color="auto" w:fill="FFFF00"/>
              <w:spacing w:before="57" w:after="57"/>
              <w:jc w:val="both"/>
              <w:rPr>
                <w:rFonts w:ascii="Arial" w:hAnsi="Arial"/>
                <w:sz w:val="20"/>
                <w:szCs w:val="20"/>
              </w:rPr>
            </w:pPr>
            <w:r>
              <w:rPr>
                <w:rFonts w:ascii="Arial" w:hAnsi="Arial"/>
                <w:color w:val="000000"/>
                <w:sz w:val="20"/>
                <w:szCs w:val="20"/>
              </w:rPr>
              <w:t xml:space="preserve">É importante verificar que </w:t>
            </w:r>
            <w:r>
              <w:rPr>
                <w:rFonts w:ascii="Arial" w:hAnsi="Arial"/>
                <w:b/>
                <w:bCs/>
                <w:color w:val="000000"/>
                <w:sz w:val="20"/>
                <w:szCs w:val="20"/>
                <w:u w:val="single"/>
              </w:rPr>
              <w:t>são vedadas</w:t>
            </w:r>
            <w:r>
              <w:rPr>
                <w:rFonts w:ascii="Arial" w:hAnsi="Arial"/>
                <w:color w:val="000000"/>
                <w:sz w:val="20"/>
                <w:szCs w:val="20"/>
              </w:rPr>
              <w:t xml:space="preserve"> (i) a subcontratação integral (ii); a exigência no contrato de subcontratação  de itens ou parcelas determinadas ou de empresas específicas; </w:t>
            </w:r>
            <w:r>
              <w:rPr>
                <w:rFonts w:ascii="Arial" w:hAnsi="Arial"/>
                <w:color w:val="000000"/>
                <w:sz w:val="20"/>
                <w:szCs w:val="20"/>
                <w:shd w:fill="FFFF00" w:val="clear"/>
              </w:rPr>
              <w:t>(iii) a prova de capacidade técnica das subcontratadas em relação a parcelas do objeto que não são passíveis de qualificação técnica;</w:t>
            </w:r>
            <w:r>
              <w:rPr>
                <w:rFonts w:ascii="Arial" w:hAnsi="Arial"/>
                <w:color w:val="000000"/>
                <w:sz w:val="20"/>
                <w:szCs w:val="20"/>
              </w:rPr>
              <w:t xml:space="preserve"> (iv) a subcontratação de microempresas e empresas de pequeno porte que tenham participando da licitação; e (iv) a subcontratação de microempresas ou empresas de pequeno porte que tenham um ou mais sócios em comum com a empresa contratante.</w:t>
            </w:r>
          </w:p>
          <w:p>
            <w:pPr>
              <w:pStyle w:val="Normal"/>
              <w:shd w:val="clear" w:color="auto" w:fill="FFFF00"/>
              <w:spacing w:before="57" w:after="57"/>
              <w:jc w:val="both"/>
              <w:rPr>
                <w:color w:val="000000"/>
                <w:lang w:eastAsia="en-US"/>
              </w:rPr>
            </w:pPr>
            <w:r>
              <w:rPr>
                <w:color w:val="000000"/>
                <w:lang w:eastAsia="en-US"/>
              </w:rPr>
            </w:r>
          </w:p>
          <w:p>
            <w:pPr>
              <w:pStyle w:val="Normal1"/>
              <w:shd w:val="clear" w:color="auto" w:fill="FFFF00"/>
              <w:spacing w:before="57" w:after="57"/>
              <w:jc w:val="both"/>
              <w:rPr>
                <w:rFonts w:ascii="Arial" w:hAnsi="Arial"/>
                <w:sz w:val="20"/>
                <w:szCs w:val="20"/>
              </w:rPr>
            </w:pPr>
            <w:r>
              <w:rPr>
                <w:rFonts w:ascii="Arial" w:hAnsi="Arial"/>
                <w:color w:val="000000"/>
                <w:sz w:val="20"/>
                <w:szCs w:val="20"/>
              </w:rPr>
              <w:t xml:space="preserve">Caso a subcontratação não seja admitida, deverá ser adotada a seguinte redação para o item </w:t>
            </w:r>
            <w:r>
              <w:rPr>
                <w:rFonts w:ascii="Arial" w:hAnsi="Arial"/>
                <w:b/>
                <w:bCs/>
                <w:color w:val="000000"/>
                <w:sz w:val="20"/>
                <w:szCs w:val="20"/>
              </w:rPr>
              <w:t>16.6</w:t>
            </w:r>
            <w:r>
              <w:rPr>
                <w:rFonts w:ascii="Arial" w:hAnsi="Arial"/>
                <w:color w:val="000000"/>
                <w:sz w:val="20"/>
                <w:szCs w:val="20"/>
              </w:rPr>
              <w:t>:</w:t>
            </w:r>
          </w:p>
          <w:p>
            <w:pPr>
              <w:pStyle w:val="Normal"/>
              <w:shd w:val="clear" w:color="auto" w:fill="FFFF00"/>
              <w:spacing w:before="57" w:after="57"/>
              <w:ind w:left="283"/>
              <w:jc w:val="both"/>
              <w:rPr>
                <w:color w:val="000000"/>
                <w:lang w:eastAsia="en-US"/>
              </w:rPr>
            </w:pPr>
            <w:r>
              <w:rPr>
                <w:color w:val="000000"/>
                <w:lang w:eastAsia="en-US"/>
              </w:rPr>
            </w:r>
          </w:p>
          <w:p>
            <w:pPr>
              <w:pStyle w:val="Normal1"/>
              <w:shd w:val="clear" w:color="auto" w:fill="FFFF00"/>
              <w:spacing w:before="57" w:after="57"/>
              <w:ind w:left="283"/>
              <w:jc w:val="both"/>
              <w:rPr>
                <w:rFonts w:ascii="Arial" w:hAnsi="Arial"/>
                <w:sz w:val="20"/>
                <w:szCs w:val="20"/>
              </w:rPr>
            </w:pPr>
            <w:r>
              <w:rPr>
                <w:rFonts w:ascii="Arial" w:hAnsi="Arial"/>
                <w:b/>
                <w:bCs/>
                <w:color w:val="000000"/>
                <w:sz w:val="20"/>
                <w:szCs w:val="20"/>
                <w:lang w:eastAsia="en-US"/>
              </w:rPr>
              <w:t xml:space="preserve">16.6. </w:t>
            </w:r>
            <w:r>
              <w:rPr>
                <w:rFonts w:ascii="Arial" w:hAnsi="Arial"/>
                <w:b w:val="false"/>
                <w:bCs w:val="false"/>
                <w:color w:val="000000"/>
                <w:sz w:val="20"/>
                <w:szCs w:val="20"/>
                <w:lang w:eastAsia="en-US"/>
              </w:rPr>
              <w:t>O CONTRATADO não poderá subcontratar parte ou o todo da obra ou dos serviços.</w:t>
            </w:r>
          </w:p>
        </w:tc>
      </w:tr>
    </w:tbl>
    <w:p>
      <w:pPr>
        <w:pStyle w:val="Normal"/>
        <w:widowControl w:val="false"/>
        <w:shd w:val="clear" w:color="auto" w:fill="FFFFFF"/>
        <w:tabs>
          <w:tab w:val="clear" w:pos="720"/>
          <w:tab w:val="left" w:pos="-7200" w:leader="none"/>
          <w:tab w:val="left" w:pos="-6207" w:leader="none"/>
        </w:tabs>
        <w:spacing w:before="57" w:after="57"/>
        <w:rPr>
          <w:rFonts w:ascii="Arial" w:hAnsi="Arial"/>
          <w:sz w:val="20"/>
          <w:szCs w:val="20"/>
          <w:shd w:fill="FFFF00" w:val="clear"/>
        </w:rPr>
      </w:pPr>
      <w:r>
        <w:rPr>
          <w:rFonts w:ascii="Arial" w:hAnsi="Arial"/>
          <w:sz w:val="20"/>
          <w:szCs w:val="20"/>
          <w:shd w:fill="FFFF00" w:val="clear"/>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fica obrigada a utilizar produtos ou subprodutos de madeira de origem exótica ou nativa que tenham procedência legal;</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16.7.1.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Em cada medição, como condição para recebimento das obras ou serviços de engenharia e arquitetura executados, deverão ser atendidas, pelo CONTRATADO, as exigências constantes do Decreto Estadual n.º 4.889, de 31 de maio de 2005, que “estabelece procedimentos de controle ambiental para a utilização de produtos e subprodutos de madeira de origem nativa em obras e serviços de engenharia contratados pelo Estado do Paraná e dá providências correlatas”;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16.7.2.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descumprimento, pelo CONTRATADO, dos requisitos impostos no item 16.7 e subitem 16.7.1 deste Contrato, poderá implicar extinção do contrato, com amparo no art. 137, I da Lei Federal 14.133, de 2021, arts.180 e 129, I do decreto Estadual nº 10.086, de 2021, c/c a aplicação das penalidades previstas nos mesmos Diplomas Legais e neste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16.8.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CONTRATADO deverá apresentar Projeto de Gerenciamento de Resíduos da Construção Civil para execução de atividades e empreendimentos sujeitos ao licenciamento ambiental, conforme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Lei n.º 12.305, de 02 de agosto de 2010, e a Resolução do CONAMA nº 307/2002, e a legislação do município em que se localiza a atividade ou empreendimento.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16.8.1.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Projetos de Gerenciamento de Resíduos da Construção Civil para execução de atividades e empreendimentos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referente a município onde está localizado o empreendimento contratado.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16.8.2.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Projetos de Gerenciamento de Resíduos da Construção Civil deverão contemplar as seguintes etapas:</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caracterização: nesta etapa o gerador deverá identificar e quantificar os resíduos;</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triagem: deverá ser realizada, preferencialmente, pelo gerador na origem, ou ser realizada nas áreas de destinação licenciadas para essa finalidade, respeitadas as classes de resíduos estabelecidas no art. 3º da Resolução nº 307/2002 do CONAMA;</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acondicionamento: o gerador deve garantir o confinamento dos resíduos após a geração até a etapa de transporte, assegurando em todos os casos em que seja possível, as condições de reutilização e de reciclagem;</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transporte: deverá ser realizado em conformidade com as etapas anteriores e de acordo com as normas técnicas vigentes para o transporte de resíduos;</w:t>
      </w:r>
    </w:p>
    <w:p>
      <w:pPr>
        <w:pStyle w:val="Normal1"/>
        <w:shd w:val="clear" w:fill="FFFFFF"/>
        <w:spacing w:lineRule="auto" w:line="240" w:before="57" w:after="57"/>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 destinação: deverá ser prevista de acordo com o estabelecido no item 16.8.1 acima.</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16.8.3.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resíduos da construção civil deverão ser destinados na forma descrita no art. 10 da Resolução nº 307/2002 do CONAMA.</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16.9.</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se obriga a manter na obra ou serviços de engenharia e arquitetura, quando couber, sob os cuidados de seu preposto, o diário de obras para anotações e registros pertinentes.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16.9.1.</w:t>
      </w:r>
      <w:r>
        <w:rPr>
          <w:rFonts w:eastAsia="Arial" w:cs="Arial" w:ascii="Arial" w:hAnsi="Arial"/>
          <w:b w:val="false"/>
          <w:i w:val="false"/>
          <w:caps w:val="false"/>
          <w:smallCaps w:val="false"/>
          <w:strike w:val="false"/>
          <w:dstrike w:val="false"/>
          <w:position w:val="0"/>
          <w:sz w:val="20"/>
          <w:sz w:val="20"/>
          <w:szCs w:val="20"/>
          <w:vertAlign w:val="baseline"/>
        </w:rPr>
        <w:t xml:space="preserve"> É da competência do CONTRATADO registrar no Diário de Obras todas as ocorrências diárias, bem como especificar detalhadamente os serviços em execução, devendo a FISCALIZAÇÃO, nesse mesmo Diário, confirmar ou retificar o registro;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16.9.2.</w:t>
      </w:r>
      <w:r>
        <w:rPr>
          <w:rFonts w:eastAsia="Arial" w:cs="Arial" w:ascii="Arial" w:hAnsi="Arial"/>
          <w:b w:val="false"/>
          <w:i w:val="false"/>
          <w:caps w:val="false"/>
          <w:smallCaps w:val="false"/>
          <w:strike w:val="false"/>
          <w:dstrike w:val="false"/>
          <w:position w:val="0"/>
          <w:sz w:val="20"/>
          <w:sz w:val="20"/>
          <w:szCs w:val="20"/>
          <w:vertAlign w:val="baseline"/>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pPr>
        <w:pStyle w:val="Normal1"/>
        <w:widowControl w:val="false"/>
        <w:shd w:val="clear" w:fill="FFFFFF"/>
        <w:tabs>
          <w:tab w:val="clear" w:pos="720"/>
          <w:tab w:val="left" w:pos="283" w:leader="none"/>
          <w:tab w:val="left" w:pos="1276" w:leader="none"/>
        </w:tabs>
        <w:spacing w:lineRule="auto" w:line="240" w:before="57" w:after="57"/>
        <w:ind w:hanging="0" w:left="283"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17. CLÁUSULA DÉCIMA SÉTIMA – DAS ALTERAÇÕES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Este Contrato poderá ser alterado pelo CONTRATANTE, precedidos das devidas justificativas, nos seguintes casos: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unilateralmente pela Administração:</w:t>
      </w:r>
      <w:bookmarkStart w:id="16" w:name="bookmark=id.44sinio"/>
      <w:bookmarkEnd w:id="16"/>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houver modificação do projeto ou das especificações, para melhor adequação técnica a seus objetivos;</w:t>
      </w:r>
      <w:bookmarkStart w:id="17" w:name="bookmark=id.2jxsxqh"/>
      <w:bookmarkEnd w:id="17"/>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for necessária a modificação do valor contratual em decorrência de acréscimo ou diminuição quantitativa de seu objeto, nos limites permitidos pela Lei;</w:t>
      </w:r>
      <w:bookmarkStart w:id="18" w:name="bookmark=id.z337ya"/>
      <w:bookmarkEnd w:id="18"/>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II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por acordo entre as partes:</w:t>
      </w:r>
      <w:bookmarkStart w:id="19" w:name="bookmark=id.3j2qqm3"/>
      <w:bookmarkEnd w:id="19"/>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quando conveniente a substituição da garantia de execução;</w:t>
      </w:r>
      <w:bookmarkStart w:id="20" w:name="bookmark=id.1y810tw"/>
      <w:bookmarkEnd w:id="20"/>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 quando necessária a modificação do regime de execução da obra ou do serviço, bem como do modo de fornecimento, em face de verificação técnica da inaplicabilidade dos termos contratuais originários;</w:t>
      </w:r>
      <w:bookmarkStart w:id="21" w:name="bookmark=id.4i7ojhp"/>
      <w:bookmarkEnd w:id="21"/>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bookmarkStart w:id="22" w:name="bookmark=id.2xcytpi"/>
      <w:bookmarkEnd w:id="22"/>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17.1.1.</w:t>
      </w:r>
      <w:r>
        <w:rPr>
          <w:rFonts w:eastAsia="Arial" w:cs="Arial" w:ascii="Arial" w:hAnsi="Arial"/>
          <w:b w:val="false"/>
          <w:i w:val="false"/>
          <w:caps w:val="false"/>
          <w:smallCaps w:val="false"/>
          <w:strike w:val="false"/>
          <w:dstrike w:val="false"/>
          <w:position w:val="0"/>
          <w:sz w:val="20"/>
          <w:sz w:val="20"/>
          <w:szCs w:val="20"/>
          <w:vertAlign w:val="baseline"/>
        </w:rPr>
        <w:t xml:space="preserve"> Nas alterações de que trata esta cláusula deverá ser observado o disposto nos artigos 124 e seguintes da Lei Federal n.º 14.133/2021.</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17.1.2.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Em situações especiais e devidamente justificadas, serão admitida</w:t>
      </w:r>
      <w:r>
        <w:rPr>
          <w:rFonts w:eastAsia="Arial" w:cs="Arial" w:ascii="Arial" w:hAnsi="Arial"/>
          <w:b w:val="false"/>
          <w:i w:val="false"/>
          <w:caps w:val="false"/>
          <w:smallCaps w:val="false"/>
          <w:strike w:val="false"/>
          <w:dstrike w:val="false"/>
          <w:color w:val="000000"/>
          <w:position w:val="0"/>
          <w:sz w:val="20"/>
          <w:sz w:val="20"/>
          <w:szCs w:val="20"/>
          <w:vertAlign w:val="baseline"/>
        </w:rPr>
        <w:t>s, por acordo entre as partes, alterações que superem os limites legais previstos no art. 125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da Lei Federal n.º 14.133/2021, desde que observadas as seguintes situações:</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não acarrete para o CONTRATANTE encargos contratuais superiores aos oriundos de uma eventual extinção contratual por razões de interesse público, acrescidos aos custos da elaboração de um novo procedimento licitatório;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b) não inviabilize a execução contratual, à vista do nível de capacidade técnica e econômico-financeira do </w:t>
      </w:r>
      <w:r>
        <w:rPr>
          <w:rFonts w:eastAsia="Arial" w:cs="Arial" w:ascii="Arial" w:hAnsi="Arial"/>
          <w:b w:val="false"/>
          <w:i w:val="false"/>
          <w:caps w:val="false"/>
          <w:smallCaps w:val="false"/>
          <w:strike w:val="false"/>
          <w:dstrike w:val="false"/>
          <w:position w:val="0"/>
          <w:sz w:val="20"/>
          <w:sz w:val="20"/>
          <w:szCs w:val="20"/>
          <w:shd w:fill="auto" w:val="clear"/>
          <w:vertAlign w:val="baseline"/>
        </w:rPr>
        <w:t xml:space="preserve">CONTRATADO; </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decorra de fatos supervenientes que impliquem dificuldades não previstas ou imprevisíveis por ocasião da contratação inicial;</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 não ocasione a transfiguração do objeto originalmente contratado em outro de natureza e propósito diversos;</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e) seja necessária à completa execução do objeto original do contrato, à otimização do cronograma de execução e à antecipação dos benefícios sociais e econômicos decorrentes;</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f) demonstre, na motivação do ato que autorizar o aditamento contratual na hipótese deste parágrafo, que as consequências da rescisão contratual, seguida de nova licitação e contratação, importam em sacrifício insuportável ou gravíssimo ao interesse coletivo a ser atendido pela obra ou serviço, inclusive à sua urgência e emergência.</w:t>
      </w:r>
    </w:p>
    <w:p>
      <w:pPr>
        <w:pStyle w:val="Normal1"/>
        <w:shd w:val="clear" w:fill="FFFFFF"/>
        <w:spacing w:lineRule="auto" w:line="240" w:before="57" w:after="0"/>
        <w:ind w:hanging="0" w:left="992"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4"/>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36</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No caso da contratação integrada ou semi-integrada o 17.1.2 deverá ter a seguinte redação: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17.1.2</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Nas hipóteses em que for adotada a contratação integrada ou semi-integrada, é vedada a alteração dos valores contratuais, exceto nos seguintes casos:</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para restabelecimento do equilíbrio econômico-financeiro decorrente de caso fortuito ou força maior;</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Federal n.º 14.133/2021;</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 por necessidade de alteração do projeto nas contratações semi-integradas, nos termos do § 5º do art. 46 da Lei Federal n.º 14.133/2021; (esse item somente se aplica à contratação semi-integrada, devendo ser suprimido no caso de contratação integrada)</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d) por ocorrência de evento superveniente alocado na matriz de riscos como de responsabilidade da Administração.</w:t>
            </w:r>
          </w:p>
        </w:tc>
      </w:tr>
    </w:tbl>
    <w:p>
      <w:pPr>
        <w:pStyle w:val="Normal1"/>
        <w:shd w:val="clear" w:fill="FFFFFF"/>
        <w:spacing w:lineRule="auto" w:line="240" w:before="57" w:after="57"/>
        <w:ind w:hanging="0" w:left="283"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17.1.3. </w:t>
      </w:r>
      <w:r>
        <w:rPr>
          <w:rFonts w:eastAsia="Arial" w:cs="Arial" w:ascii="Arial" w:hAnsi="Arial"/>
          <w:b w:val="false"/>
          <w:i w:val="false"/>
          <w:caps w:val="false"/>
          <w:smallCaps w:val="false"/>
          <w:strike w:val="false"/>
          <w:dstrike w:val="false"/>
          <w:position w:val="0"/>
          <w:sz w:val="20"/>
          <w:sz w:val="20"/>
          <w:szCs w:val="20"/>
          <w:highlight w:val="white"/>
          <w:vertAlign w:val="baseline"/>
        </w:rPr>
        <w:t>O valor do contrato pode ser alterado quando:</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a) a alteração for consequência dos casos dos incisos </w:t>
      </w:r>
      <w:r>
        <w:rPr>
          <w:rFonts w:eastAsia="Arial" w:cs="Arial" w:ascii="Arial" w:hAnsi="Arial"/>
          <w:b w:val="false"/>
          <w:i w:val="false"/>
          <w:caps w:val="false"/>
          <w:smallCaps w:val="false"/>
          <w:strike w:val="false"/>
          <w:dstrike w:val="false"/>
          <w:color w:val="158466"/>
          <w:position w:val="0"/>
          <w:sz w:val="20"/>
          <w:sz w:val="20"/>
          <w:szCs w:val="20"/>
          <w:highlight w:val="yellow"/>
          <w:vertAlign w:val="baseline"/>
        </w:rPr>
        <w:t>“a” a “d” do subitem 17.1.2.</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b) visar 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pPr>
        <w:pStyle w:val="Normal1"/>
        <w:shd w:val="clear" w:fill="FFFFFF"/>
        <w:spacing w:lineRule="auto" w:line="240" w:before="57" w:after="57"/>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c)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conforme o caso.</w:t>
      </w:r>
    </w:p>
    <w:p>
      <w:pPr>
        <w:pStyle w:val="Normal1"/>
        <w:shd w:val="clear" w:fill="FFFFFF"/>
        <w:spacing w:lineRule="auto" w:line="240" w:before="57" w:after="57"/>
        <w:ind w:hanging="0" w:left="28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17.1.4.</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C</w:t>
      </w:r>
      <w:r>
        <w:rPr>
          <w:rFonts w:eastAsia="Arial" w:cs="Arial" w:ascii="Arial" w:hAnsi="Arial"/>
          <w:b w:val="false"/>
          <w:i w:val="false"/>
          <w:caps w:val="false"/>
          <w:smallCaps w:val="false"/>
          <w:strike w:val="false"/>
          <w:dstrike w:val="false"/>
          <w:position w:val="0"/>
          <w:sz w:val="20"/>
          <w:sz w:val="20"/>
          <w:szCs w:val="20"/>
          <w:vertAlign w:val="baseline"/>
        </w:rPr>
        <w:t>oncluída a instrução do requerimento de reequilíbrio econômico-financeiro, a Administração terá o prazo de 30 (trinta) dias para decidir, admitida a prorrogação motivada por igual período.</w:t>
      </w:r>
    </w:p>
    <w:p>
      <w:pPr>
        <w:pStyle w:val="Normal1"/>
        <w:shd w:val="clear" w:fill="FFFFFF"/>
        <w:spacing w:lineRule="auto" w:line="240" w:before="57" w:after="57"/>
        <w:ind w:hanging="0" w:left="567"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5"/>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37</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Nas hipóteses em que for adotada a </w:t>
            </w:r>
            <w:r>
              <w:rPr>
                <w:rFonts w:eastAsia="Arial" w:cs="Arial" w:ascii="Arial" w:hAnsi="Arial"/>
                <w:b/>
                <w:i w:val="false"/>
                <w:caps w:val="false"/>
                <w:smallCaps w:val="false"/>
                <w:strike w:val="false"/>
                <w:dstrike w:val="false"/>
                <w:color w:val="000000"/>
                <w:position w:val="0"/>
                <w:sz w:val="20"/>
                <w:sz w:val="20"/>
                <w:szCs w:val="20"/>
                <w:u w:val="none"/>
                <w:vertAlign w:val="baseline"/>
              </w:rPr>
              <w:t>CONTRATAÇÃO INTEGRADA OU SEMI-INTEGRADA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item </w:t>
            </w:r>
            <w:r>
              <w:rPr>
                <w:rFonts w:eastAsia="Arial" w:cs="Arial" w:ascii="Arial" w:hAnsi="Arial"/>
                <w:b/>
                <w:i w:val="false"/>
                <w:caps w:val="false"/>
                <w:smallCaps w:val="false"/>
                <w:strike w:val="false"/>
                <w:dstrike w:val="false"/>
                <w:color w:val="000000"/>
                <w:position w:val="0"/>
                <w:sz w:val="20"/>
                <w:sz w:val="20"/>
                <w:szCs w:val="20"/>
                <w:u w:val="none"/>
                <w:vertAlign w:val="baseline"/>
              </w:rPr>
              <w:t>17.1,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 os subitens, deve ser escrito da seguinte forma:</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É vedada a alteração dos valores contratuais, exceto nos seguintes casos:</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17.1.3.1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para restabelecimento do equilíbrio econômico-financeiro decorrente de caso fortuito ou força maior;</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17.1.3.2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nº 14.133/2021;</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por ocorrência de evento superveniente alocado na matriz de riscos como de responsabilidade da Administração.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17.1.3.4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por necessidade de alteração do projeto, nos termos do § 5º do art. 46 da Lei nº 14.133/2021;</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OBS.</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vertAlign w:val="baseline"/>
              </w:rPr>
              <w:t>O subitem 17.1.3.4 só deve ser acrescido no caso de contratação semi-integrada.</w:t>
            </w:r>
          </w:p>
        </w:tc>
      </w:tr>
    </w:tbl>
    <w:p>
      <w:pPr>
        <w:pStyle w:val="Normal1"/>
        <w:shd w:val="clear" w:fill="FFFFFF"/>
        <w:spacing w:lineRule="auto" w:line="240" w:before="57"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garantia pode ser alterada quando conveniente a substituição a pedido do CONTRATADO e aceita pelo CONTRATANTE.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forma de pagamento poderá ser alterada por imposição de circunstâncias supervenientes, mantido o valor inicial atualizado, vedada a antecipação do pagamento com relação ao cronograma financeiro fixado sem a correspondente contraprestação de fornecimento de bens ou execução de obra ou serviço.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No caso de supressão de obras, bens ou serviços, se o contratado já houver adquirido os materiais e posto no local dos trabalhos, estes devem ser ressarcidos pelo CONTRATANTE pelos custos de aquisição regularmente comprovados.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Havendo alteração do contrato que aumente ou diminua os encargos do CONTRATADO, deve ser reestabelecida a equação econômico-financeira por meio de aditamento contratual nos casos autorizados pela Lei n.º 14.133/2021.</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17.5.1.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Caso os serviços a serem acrescidos ou suprimidos constem na planilha de serviços da obra contratada, prevalecerão os valores propostos pelo CONTRATADO, em cada item;</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17.5.2.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17.5.3.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 serviços a serem contratados serão a média dos </w:t>
      </w:r>
      <w:r>
        <w:rPr>
          <w:rFonts w:eastAsia="Arial" w:cs="Arial" w:ascii="Arial" w:hAnsi="Arial"/>
          <w:b w:val="false"/>
          <w:i w:val="false"/>
          <w:caps w:val="false"/>
          <w:smallCaps w:val="false"/>
          <w:strike w:val="false"/>
          <w:dstrike w:val="false"/>
          <w:position w:val="0"/>
          <w:sz w:val="20"/>
          <w:sz w:val="20"/>
          <w:szCs w:val="20"/>
          <w:vertAlign w:val="baseline"/>
        </w:rPr>
        <w:t>preços pesquisados, multiplicados pelo desconto global ou linear oferecido na proposta do contratado.</w:t>
      </w:r>
    </w:p>
    <w:p>
      <w:pPr>
        <w:pStyle w:val="Normal1"/>
        <w:widowControl w:val="false"/>
        <w:shd w:val="clear" w:fill="FFFFFF"/>
        <w:tabs>
          <w:tab w:val="clear" w:pos="720"/>
          <w:tab w:val="left" w:pos="-6917" w:leader="none"/>
          <w:tab w:val="left" w:pos="-59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17.6.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 CLÁUSULA DÉCIMA OITAVA – DA INEXECUÇÃO, EXTINÇÃO E PENALIDADES.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18.1.</w:t>
      </w:r>
      <w:r>
        <w:rPr>
          <w:rFonts w:eastAsia="Arial" w:cs="Arial" w:ascii="Arial" w:hAnsi="Arial"/>
          <w:b w:val="false"/>
          <w:i w:val="false"/>
          <w:caps w:val="false"/>
          <w:smallCaps w:val="false"/>
          <w:strike w:val="false"/>
          <w:dstrike w:val="false"/>
          <w:position w:val="0"/>
          <w:sz w:val="20"/>
          <w:sz w:val="20"/>
          <w:szCs w:val="20"/>
          <w:vertAlign w:val="baseline"/>
        </w:rPr>
        <w:t xml:space="preserve"> A inexecução total ou parcial do contrato enseja a sua extinção, com as consequências previstas em lei, no Decreto Estadual nº 10.086/2022 e neste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18.2.</w:t>
      </w:r>
      <w:r>
        <w:rPr>
          <w:rFonts w:eastAsia="Arial" w:cs="Arial" w:ascii="Arial" w:hAnsi="Arial"/>
          <w:b w:val="false"/>
          <w:i w:val="false"/>
          <w:caps w:val="false"/>
          <w:smallCaps w:val="false"/>
          <w:strike w:val="false"/>
          <w:dstrike w:val="false"/>
          <w:position w:val="0"/>
          <w:sz w:val="20"/>
          <w:sz w:val="20"/>
          <w:szCs w:val="20"/>
          <w:vertAlign w:val="baseline"/>
        </w:rPr>
        <w:t xml:space="preserve"> Constituem motivo para extinção do contrato: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18.2.1. </w:t>
      </w:r>
      <w:r>
        <w:rPr>
          <w:rFonts w:eastAsia="Arial" w:cs="Arial" w:ascii="Arial" w:hAnsi="Arial"/>
          <w:b w:val="false"/>
          <w:i w:val="false"/>
          <w:caps w:val="false"/>
          <w:smallCaps w:val="false"/>
          <w:strike w:val="false"/>
          <w:dstrike w:val="false"/>
          <w:position w:val="0"/>
          <w:sz w:val="20"/>
          <w:sz w:val="20"/>
          <w:szCs w:val="20"/>
          <w:highlight w:val="white"/>
          <w:vertAlign w:val="baseline"/>
        </w:rPr>
        <w:t>O não cumprimento de cláusulas, condições, especificações, projetos e prazos;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cumprimento irregular de cláusulas, condições, especificações, projetos e prazos,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lentidão no seu cumprimento, levando o CONTRATANTE a presumir a não conclusão da obra e/ou do serviço nos prazos estipulados;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atraso injustificado no início da obra e/ou serviço sem justa causa e sem prévia comunicação ao CONTRATANTE;</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paralisação da obra e/ou do serviço sem justa causa e sem prévia comunicação ao CONTRATANTE;</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não atendimento das determinações regulares da autoridade designada para acompanhar e fiscalizar a execução, assim como as de seus superiores;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18.2.8.</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cometimento reiterado de faltas na execução do ajuste, anotadas no Relatório de Vistoria;</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18.2.9.</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decretação de falência ou a instauração de insolvência civil do CONTRATADO;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18.2.10.</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alteração social ou a modificação da finalidade ou da estrutura da empresa, que, a juízo do CONTRATANTE, prejudique a execução do contrato;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dissolução da sociedade ou o falecimento do contratado;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18.2.12.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Não cumprimento das obrigações relativas à reserva de cargos prevista em lei, bem como em outras normas específicas, para pessoa com deficiência, para reabilitado da Previdência Social ou para aprendiz.</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falta de integralização da garantia nos prazos estipulados;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Razões de interesse público de alta relevância e amplo conhecimento, justificadas e determinadas pelo CONTRATANTE;</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supressão, por parte do CONTRATANTE, de obras ou serviços, acarretando modificação do valor inicial do contrato além do limite permitido legalmente;</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18.2.17.</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18.2.18.</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não liberação, por parte do CONTRATANTE, de área, local ou objeto para execução de obra, serviço ou fornecimento, nos prazos contratuais, bem como das fontes de materiais naturais especificadas no projeto;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18.2.19.</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O atraso na obtenção da licença ambiental, ou impossibilidade de obtê-la, ou alteração substancial do anteprojeto que dela resultar, ainda que obtida no prazo previsto;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18.2.20.</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ocorrência de caso fortuito ou de força maior, regularmente comprovada e impeditiva da execução do contrato.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18.2.21.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descumprimento da proibição de trabalho noturno, perigoso ou insalubre a menores de 18 (dezoito) anos e de qualquer trabalho a menores de 16 (dezesseis) anos, salvo na condição de aprendiz, a partir de 14 (quatorze) anos;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18.2.22.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A superveniência da declaração de inidoneidade para licitar e contratar com a Administração Pública;</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18.2.23.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perecimento do objeto contratual, tornando impossível o prosseguimento da execução da avença.</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casos de extinção contratual serão formalmente motivados nos autos de processo administrativo autônomo, por meio do qual ficará assegurado o contraditório e ampla defesa.</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18.4. </w:t>
      </w:r>
      <w:r>
        <w:rPr>
          <w:rFonts w:eastAsia="Arial" w:cs="Arial" w:ascii="Arial" w:hAnsi="Arial"/>
          <w:b w:val="false"/>
          <w:i w:val="false"/>
          <w:caps w:val="false"/>
          <w:smallCaps w:val="false"/>
          <w:strike w:val="false"/>
          <w:dstrike w:val="false"/>
          <w:position w:val="0"/>
          <w:sz w:val="20"/>
          <w:sz w:val="20"/>
          <w:szCs w:val="20"/>
          <w:highlight w:val="white"/>
          <w:vertAlign w:val="baseline"/>
        </w:rPr>
        <w:t>A extinção do contrato poderá ser:</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18.4.1.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determinada por ato unilateral e escrito da Administração, exceto no caso de descumprimento decorrente de sua própria conduta;</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18.4.2.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consensual, por acordo entre as partes, desde que haja interesse da Administração;</w:t>
      </w:r>
    </w:p>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5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38</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Se prevista a possibilidade de resolução de conflitos por conciliação, por mediação ou por comitê de resolução de disputas, o item 18.4 deve ser o seguinte:</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w:t>
            </w:r>
            <w:r>
              <w:rPr>
                <w:rFonts w:eastAsia="Arial" w:cs="Arial" w:ascii="Arial" w:hAnsi="Arial"/>
                <w:b w:val="false"/>
                <w:i w:val="false"/>
                <w:caps w:val="false"/>
                <w:smallCaps w:val="false"/>
                <w:strike w:val="false"/>
                <w:dstrike w:val="false"/>
                <w:position w:val="0"/>
                <w:sz w:val="20"/>
                <w:sz w:val="20"/>
                <w:szCs w:val="20"/>
                <w:vertAlign w:val="baseline"/>
              </w:rPr>
              <w:t xml:space="preserve"> A extinção do contrato poderá ser:</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18.4.1.</w:t>
            </w:r>
            <w:r>
              <w:rPr>
                <w:rFonts w:eastAsia="Arial" w:cs="Arial" w:ascii="Arial" w:hAnsi="Arial"/>
                <w:b w:val="false"/>
                <w:i w:val="false"/>
                <w:caps w:val="false"/>
                <w:smallCaps w:val="false"/>
                <w:strike w:val="false"/>
                <w:dstrike w:val="false"/>
                <w:position w:val="0"/>
                <w:sz w:val="20"/>
                <w:sz w:val="20"/>
                <w:szCs w:val="20"/>
                <w:vertAlign w:val="baseline"/>
              </w:rPr>
              <w:t xml:space="preserve"> determinada por ato unilateral e escrito da Administração, exceto no caso de descumprimento decorrente de sua própria conduta;</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18.4.2.</w:t>
            </w:r>
            <w:r>
              <w:rPr>
                <w:rFonts w:eastAsia="Arial" w:cs="Arial" w:ascii="Arial" w:hAnsi="Arial"/>
                <w:b w:val="false"/>
                <w:i w:val="false"/>
                <w:caps w:val="false"/>
                <w:smallCaps w:val="false"/>
                <w:strike w:val="false"/>
                <w:dstrike w:val="false"/>
                <w:position w:val="0"/>
                <w:sz w:val="20"/>
                <w:sz w:val="20"/>
                <w:szCs w:val="20"/>
                <w:vertAlign w:val="baseline"/>
              </w:rPr>
              <w:t xml:space="preserve"> consensual, por acordo entre as partes, por conciliação, por mediação ou por comitê de resolução de disputas, desde que haja interesse da Administração;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18.4.3. </w:t>
            </w:r>
            <w:r>
              <w:rPr>
                <w:rFonts w:eastAsia="Arial" w:cs="Arial" w:ascii="Arial" w:hAnsi="Arial"/>
                <w:b w:val="false"/>
                <w:i w:val="false"/>
                <w:caps w:val="false"/>
                <w:smallCaps w:val="false"/>
                <w:strike w:val="false"/>
                <w:dstrike w:val="false"/>
                <w:position w:val="0"/>
                <w:sz w:val="20"/>
                <w:sz w:val="20"/>
                <w:szCs w:val="20"/>
                <w:vertAlign w:val="baseline"/>
              </w:rPr>
              <w:t>determinada por decisão arbitral, em decorrência de cláusula compromissória ou compromisso arbitral, ou por decisão judicial.</w:t>
            </w:r>
          </w:p>
        </w:tc>
      </w:tr>
    </w:tbl>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extinção administrativa ou consensual deverá ser precedida de autorização escrita e fundamentada da autoridade competente.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18.6.</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Quando a extinção ocorrer com base nos subitens 18.2.14 à 18.2.23, sem que haja culpa do CONTRATADO, será esta ressarcida dos prejuízos regularmente comprovados que houver sofrido, tendo ainda direito.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18.6.1.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Devolução da garantia;</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18.6.2.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Pagamentos devidos pela execução do contrato até a data da extinção;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18.6.3.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Pagamento do custo da desmobilização, quando couber;</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18.6.4.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Ocorrendo impedimento, paralisação ou sustação do contrato, o cronograma de execução será prorrogado automaticamente por igual tempo.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18.7.</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rescisão unilateral acarretará as seguintes consequências, sem prejuízos das sanções previstas neste instrumento:</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18.7.1.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Assunção imediata do objeto do contrato, no estado e local em que se encontrar, por ato próprio do CONTRATANTE,</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18.7.2.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Ocupação e utilização do local, instalações, equipamentos, material e pessoal empregados na execução do contrato, necessários à sua continuidade, a serem devolvidos ou ressarcidos posteriormente, mediante avaliação, nos casos de serviços essenciais conforme previsto na Lei;</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18.7.3.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Perda ou execução da garantia contratual, para ressarcimento do Estado e dos valores das multas e indenizações a ele devidos;</w:t>
      </w:r>
    </w:p>
    <w:p>
      <w:pPr>
        <w:pStyle w:val="Normal1"/>
        <w:widowControl w:val="false"/>
        <w:shd w:val="clear" w:fill="FFFFFF"/>
        <w:tabs>
          <w:tab w:val="clear" w:pos="720"/>
          <w:tab w:val="left" w:pos="-10517" w:leader="none"/>
          <w:tab w:val="left" w:pos="-9524" w:leader="none"/>
          <w:tab w:val="left" w:pos="-9383"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18.7.4.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Retenção dos créditos decorrentes do contrato, até o limite dos prejuízos causados.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18.8.</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Na hipótese de ocupação provisória, o ato deverá ser precedido de autorização expressa da autoridade competente do CONTRATANTE.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18.9.</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recusa injustificada do adjudicatário em assinar o contrato, aceitar ou retirar o instrumento equivalente dentro do prazo estabelecido pelo CONTRATANTE caracteriza o descumprimento total da obrigação assumida, sujeitando-o à penalidade definida no item 18.15, além das demais penalidades previstas neste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18.10.</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O atraso injustificado na execução do contrato sujeitará o CONTRATADO à multa de mora, na forma prevista neste Contrato, sem prejuízo do previsto no subitem 18.2.3.</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18.10.1.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multa moratória não impede que o CONTRATANTE rescinda unilateralmente o contrato e aplique as outras penalidades previstas neste Contrato.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18.10.2.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 multa será descontada dos pagamentos ou da garantia do respectivo contrato, ou ainda, quando for o caso, cobrada judicialmente.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Pela inexecução total ou parcial, bem como pelo atraso injustificado na execução do contrato, o CONTRATANTE poderá aplicar as seguintes sanções: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Advertência por escrito, em caso de descumprimento de quaisquer obrigações previstas no edital e seus anexos e neste contrato que não configurem hipóteses de aplicação de sanções mais graves;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Multa de 0,</w:t>
      </w:r>
      <w:r>
        <w:rPr>
          <w:rFonts w:eastAsia="Arial" w:cs="Arial" w:ascii="Arial" w:hAnsi="Arial"/>
          <w:b w:val="false"/>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w:t>
      </w:r>
      <w:r>
        <w:rPr>
          <w:rFonts w:eastAsia="Arial" w:cs="Arial" w:ascii="Arial" w:hAnsi="Arial"/>
          <w:b w:val="false"/>
          <w:i w:val="false"/>
          <w:caps w:val="false"/>
          <w:smallCaps w:val="false"/>
          <w:strike w:val="false"/>
          <w:dstrike w:val="false"/>
          <w:color w:val="000000"/>
          <w:position w:val="0"/>
          <w:sz w:val="20"/>
          <w:sz w:val="20"/>
          <w:szCs w:val="20"/>
          <w:vertAlign w:val="baseline"/>
        </w:rPr>
        <w:t>três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décimos por cento) por dia sobre o valor adjudicado em caso de atraso na execução dos serviços, limitada a incidência a </w:t>
      </w:r>
      <w:r>
        <w:rPr>
          <w:rFonts w:eastAsia="Arial" w:cs="Arial" w:ascii="Arial" w:hAnsi="Arial"/>
          <w:b w:val="false"/>
          <w:i w:val="false"/>
          <w:caps w:val="false"/>
          <w:smallCaps w:val="false"/>
          <w:strike w:val="false"/>
          <w:dstrike w:val="false"/>
          <w:color w:val="000000"/>
          <w:position w:val="0"/>
          <w:sz w:val="20"/>
          <w:sz w:val="20"/>
          <w:szCs w:val="20"/>
          <w:vertAlign w:val="baseline"/>
        </w:rPr>
        <w:t>30%</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vertAlign w:val="baseline"/>
        </w:rPr>
        <w:t>trinta por cento</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Após o </w:t>
      </w:r>
      <w:r>
        <w:rPr>
          <w:rFonts w:eastAsia="Arial" w:cs="Arial" w:ascii="Arial" w:hAnsi="Arial"/>
          <w:b w:val="false"/>
          <w:i w:val="false"/>
          <w:caps w:val="false"/>
          <w:smallCaps w:val="false"/>
          <w:strike w:val="false"/>
          <w:dstrike w:val="false"/>
          <w:color w:val="000000"/>
          <w:position w:val="0"/>
          <w:sz w:val="20"/>
          <w:sz w:val="20"/>
          <w:szCs w:val="20"/>
          <w:vertAlign w:val="baseline"/>
        </w:rPr>
        <w:t>trigésimo</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rFonts w:eastAsia="Arial" w:cs="Arial" w:ascii="Arial" w:hAnsi="Arial"/>
          <w:b w:val="false"/>
          <w:i w:val="false"/>
          <w:caps w:val="false"/>
          <w:smallCaps w:val="false"/>
          <w:strike w:val="false"/>
          <w:dstrike w:val="false"/>
          <w:color w:val="000000"/>
          <w:position w:val="0"/>
          <w:sz w:val="20"/>
          <w:sz w:val="20"/>
          <w:szCs w:val="20"/>
          <w:vertAlign w:val="baseline"/>
        </w:rPr>
        <w:t>a partir do 31º (trigésimo primeiro) dia será cabível a multa compensatória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18.14.</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Multa de </w:t>
      </w:r>
      <w:r>
        <w:rPr>
          <w:rFonts w:eastAsia="Arial" w:cs="Arial" w:ascii="Arial" w:hAnsi="Arial"/>
          <w:b w:val="false"/>
          <w:i w:val="false"/>
          <w:caps w:val="false"/>
          <w:smallCaps w:val="false"/>
          <w:strike w:val="false"/>
          <w:dstrike w:val="false"/>
          <w:color w:val="000000"/>
          <w:position w:val="0"/>
          <w:sz w:val="20"/>
          <w:sz w:val="20"/>
          <w:szCs w:val="20"/>
          <w:vertAlign w:val="baseline"/>
        </w:rPr>
        <w:t>10</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w:t>
      </w:r>
      <w:r>
        <w:rPr>
          <w:rFonts w:eastAsia="Arial" w:cs="Arial" w:ascii="Arial" w:hAnsi="Arial"/>
          <w:b w:val="false"/>
          <w:i w:val="false"/>
          <w:caps w:val="false"/>
          <w:smallCaps w:val="false"/>
          <w:strike w:val="false"/>
          <w:dstrike w:val="false"/>
          <w:color w:val="000000"/>
          <w:position w:val="0"/>
          <w:sz w:val="20"/>
          <w:sz w:val="20"/>
          <w:szCs w:val="20"/>
          <w:vertAlign w:val="baseline"/>
        </w:rPr>
        <w:t>dez</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por cento) até </w:t>
      </w:r>
      <w:r>
        <w:rPr>
          <w:rFonts w:eastAsia="Arial" w:cs="Arial" w:ascii="Arial" w:hAnsi="Arial"/>
          <w:b w:val="false"/>
          <w:i w:val="false"/>
          <w:caps w:val="false"/>
          <w:smallCaps w:val="false"/>
          <w:strike w:val="false"/>
          <w:dstrike w:val="false"/>
          <w:color w:val="000000"/>
          <w:position w:val="0"/>
          <w:sz w:val="20"/>
          <w:sz w:val="20"/>
          <w:szCs w:val="20"/>
          <w:vertAlign w:val="baseline"/>
        </w:rPr>
        <w:t>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0% (</w:t>
      </w:r>
      <w:r>
        <w:rPr>
          <w:rFonts w:eastAsia="Arial" w:cs="Arial" w:ascii="Arial" w:hAnsi="Arial"/>
          <w:b w:val="false"/>
          <w:i w:val="false"/>
          <w:caps w:val="false"/>
          <w:smallCaps w:val="false"/>
          <w:strike w:val="false"/>
          <w:dstrike w:val="false"/>
          <w:color w:val="000000"/>
          <w:position w:val="0"/>
          <w:sz w:val="20"/>
          <w:sz w:val="20"/>
          <w:szCs w:val="20"/>
          <w:vertAlign w:val="baseline"/>
        </w:rPr>
        <w:t>trinta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por cento) sobre o valor adjudicado, em caso de inexecução parcial da obrigação assumida que cause grave dano à Administração, ao funcionamento dos serviços públicos ou ao interesse coletivo;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18.15.</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Multa de 30% (vinte por cento) sobre o valor total do contrato, nos casos de inexecução total do objeto;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18.16.</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Multa de 0,5% a 5,0% por dia sobre o valor mensal do contrato, conforme detalhamento constante das </w:t>
      </w:r>
      <w:r>
        <w:rPr>
          <w:rFonts w:eastAsia="Arial" w:cs="Arial" w:ascii="Arial" w:hAnsi="Arial"/>
          <w:b/>
          <w:i w:val="false"/>
          <w:caps w:val="false"/>
          <w:smallCaps w:val="false"/>
          <w:strike w:val="false"/>
          <w:dstrike w:val="false"/>
          <w:color w:val="000000"/>
          <w:position w:val="0"/>
          <w:sz w:val="20"/>
          <w:sz w:val="20"/>
          <w:szCs w:val="20"/>
          <w:vertAlign w:val="baseline"/>
        </w:rPr>
        <w:t>tabelas 1 e 2</w:t>
      </w:r>
      <w:r>
        <w:rPr>
          <w:rFonts w:eastAsia="Arial" w:cs="Arial" w:ascii="Arial" w:hAnsi="Arial"/>
          <w:b w:val="false"/>
          <w:i w:val="false"/>
          <w:caps w:val="false"/>
          <w:smallCaps w:val="false"/>
          <w:strike w:val="false"/>
          <w:dstrike w:val="false"/>
          <w:color w:val="000000"/>
          <w:position w:val="0"/>
          <w:sz w:val="20"/>
          <w:sz w:val="20"/>
          <w:szCs w:val="20"/>
          <w:vertAlign w:val="baseline"/>
        </w:rPr>
        <w:t>, abaixo;</w:t>
      </w:r>
    </w:p>
    <w:p>
      <w:pPr>
        <w:pStyle w:val="Normal1"/>
        <w:widowControl w:val="false"/>
        <w:shd w:val="clear" w:fill="FFFFFF"/>
        <w:tabs>
          <w:tab w:val="clear" w:pos="720"/>
          <w:tab w:val="left" w:pos="0" w:leader="none"/>
          <w:tab w:val="left" w:pos="993" w:leader="none"/>
        </w:tabs>
        <w:spacing w:lineRule="auto" w:line="240" w:before="57" w:after="57"/>
        <w:rPr>
          <w:rFonts w:ascii="Arial" w:hAnsi="Arial" w:eastAsia="Arial" w:cs="Arial"/>
          <w:color w:val="C9211E"/>
          <w:position w:val="0"/>
          <w:sz w:val="20"/>
          <w:sz w:val="20"/>
          <w:szCs w:val="20"/>
          <w:vertAlign w:val="baseline"/>
        </w:rPr>
      </w:pPr>
      <w:r>
        <w:rPr>
          <w:rFonts w:eastAsia="Arial" w:cs="Arial" w:ascii="Arial" w:hAnsi="Arial"/>
          <w:color w:val="C9211E"/>
          <w:position w:val="0"/>
          <w:sz w:val="20"/>
          <w:sz w:val="20"/>
          <w:szCs w:val="20"/>
          <w:vertAlign w:val="baseline"/>
        </w:rPr>
      </w:r>
    </w:p>
    <w:tbl>
      <w:tblPr>
        <w:tblStyle w:val="Table57"/>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39</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Os patamares estabelecidos nas tabelas 1 e 2 poderão ser alterados a critério da autoridade competente, considerando as especificidades do objeto da licitação.</w:t>
            </w:r>
          </w:p>
        </w:tc>
      </w:tr>
    </w:tbl>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18.17.</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Para efeito de aplicação de multas, às infrações são atribuídos graus, de acordo com as tabelas 1 e 2:</w:t>
      </w:r>
    </w:p>
    <w:p>
      <w:pPr>
        <w:pStyle w:val="Normal1"/>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Tabela 1</w:t>
      </w:r>
    </w:p>
    <w:tbl>
      <w:tblPr>
        <w:tblStyle w:val="Table58"/>
        <w:tblW w:w="9069" w:type="dxa"/>
        <w:jc w:val="left"/>
        <w:tblInd w:w="-75" w:type="dxa"/>
        <w:tblLayout w:type="fixed"/>
        <w:tblCellMar>
          <w:top w:w="0" w:type="dxa"/>
          <w:left w:w="108" w:type="dxa"/>
          <w:bottom w:w="0" w:type="dxa"/>
          <w:right w:w="108" w:type="dxa"/>
        </w:tblCellMar>
        <w:tblLook w:val="0000"/>
      </w:tblPr>
      <w:tblGrid>
        <w:gridCol w:w="2775"/>
        <w:gridCol w:w="6293"/>
      </w:tblGrid>
      <w:tr>
        <w:trPr>
          <w:trHeight w:val="180" w:hRule="atLeast"/>
        </w:trPr>
        <w:tc>
          <w:tcPr>
            <w:tcW w:w="277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c>
          <w:tcPr>
            <w:tcW w:w="6293"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CORRESPONDÊNCIA</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1,0%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2,5% ao dia sobre o valor da respectiva etapa do cronograma físico-financeiro do contrato</w:t>
            </w:r>
          </w:p>
        </w:tc>
      </w:tr>
      <w:tr>
        <w:trPr/>
        <w:tc>
          <w:tcPr>
            <w:tcW w:w="2775"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6293"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5,0% ao dia sobre o valor da respectiva etapa do cronograma físico-financeiro do contrato</w:t>
            </w:r>
          </w:p>
        </w:tc>
      </w:tr>
    </w:tbl>
    <w:p>
      <w:pPr>
        <w:pStyle w:val="Normal1"/>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Tabela 2</w:t>
      </w:r>
    </w:p>
    <w:tbl>
      <w:tblPr>
        <w:tblStyle w:val="Table59"/>
        <w:tblW w:w="9075" w:type="dxa"/>
        <w:jc w:val="left"/>
        <w:tblInd w:w="-75" w:type="dxa"/>
        <w:tblLayout w:type="fixed"/>
        <w:tblCellMar>
          <w:top w:w="0" w:type="dxa"/>
          <w:left w:w="108" w:type="dxa"/>
          <w:bottom w:w="0" w:type="dxa"/>
          <w:right w:w="108" w:type="dxa"/>
        </w:tblCellMar>
        <w:tblLook w:val="0000"/>
      </w:tblPr>
      <w:tblGrid>
        <w:gridCol w:w="2325"/>
        <w:gridCol w:w="4974"/>
        <w:gridCol w:w="1776"/>
      </w:tblGrid>
      <w:tr>
        <w:trPr>
          <w:trHeight w:val="60" w:hRule="atLeast"/>
        </w:trPr>
        <w:tc>
          <w:tcPr>
            <w:tcW w:w="9075" w:type="dxa"/>
            <w:gridSpan w:val="3"/>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INFRAÇÃO</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ITEM</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DESCRIÇÃO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GRAU</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situação que crie a possibilidade de causar dano físico, lesão corporal ou consequências letais,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05</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2</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Suspender ou interromper, salvo motivo de força maior ou caso fortuito, os serviços contratuais;</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04</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3</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Manter trabalhador sem qualificação exigida para executar os serviços contratados, ou deixar de substituir trabalhador quando exigido pela fiscalização, por trabalhador;</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4</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Recusar-se a executar ou corrigir serviço determinado pela fiscalização, por serviço;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5</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Permitir a execução de serviços sem a utilização de EPIs/EPCs, por trabalhador;</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rHeight w:val="225" w:hRule="atLeast"/>
        </w:trPr>
        <w:tc>
          <w:tcPr>
            <w:tcW w:w="9075" w:type="dxa"/>
            <w:gridSpan w:val="3"/>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Para os itens a seguir, deixar de:</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6</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Registrar no Diário de Obras todas as ocorrências diárias, bem como especificar detalhadamente os serviços em execução.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7</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determinação formal ou instrução complementar do órgão fiscalizador,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02</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8</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Substituir trabalhador que se conduza de modo inconveniente ou não atenda às necessidades do serviço, por trabalhador e por dia;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9</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Cumprir quaisquer dos itens do Edital e seus Anexos não previstos nesta tabela de multas, após reincidência formalmente notificada pelo órgão fiscalizador, por item e por ocorrência;</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10</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Indicar e manter durante a execução do contrato os prepostos previstos no edital/contrato;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11</w:t>
            </w:r>
          </w:p>
        </w:tc>
        <w:tc>
          <w:tcPr>
            <w:tcW w:w="4974" w:type="dxa"/>
            <w:tcBorders>
              <w:top w:val="single" w:sz="6" w:space="0" w:color="C0C0C0"/>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Providenciar treinamento para seus funcionários conforme previsto na relação de obrigações do CONTRATADO</w:t>
            </w:r>
          </w:p>
        </w:tc>
        <w:tc>
          <w:tcPr>
            <w:tcW w:w="1776" w:type="dxa"/>
            <w:tcBorders>
              <w:top w:val="single" w:sz="6" w:space="0" w:color="C0C0C0"/>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01</w:t>
            </w:r>
          </w:p>
        </w:tc>
      </w:tr>
      <w:tr>
        <w:trPr/>
        <w:tc>
          <w:tcPr>
            <w:tcW w:w="2325" w:type="dxa"/>
            <w:tcBorders>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12</w:t>
            </w:r>
          </w:p>
        </w:tc>
        <w:tc>
          <w:tcPr>
            <w:tcW w:w="4974" w:type="dxa"/>
            <w:tcBorders>
              <w:left w:val="single" w:sz="6" w:space="0" w:color="C0C0C0"/>
              <w:bottom w:val="single" w:sz="6" w:space="0" w:color="C0C0C0"/>
              <w:right w:val="single" w:sz="6" w:space="0" w:color="C0C0C0"/>
            </w:tcBorders>
            <w:shd w:fill="auto" w:val="clea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Zelar pelas instalações da Administração ou de terceiros.</w:t>
            </w:r>
          </w:p>
        </w:tc>
        <w:tc>
          <w:tcPr>
            <w:tcW w:w="1776" w:type="dxa"/>
            <w:tcBorders>
              <w:left w:val="single" w:sz="6" w:space="0" w:color="C0C0C0"/>
              <w:bottom w:val="single" w:sz="6" w:space="0" w:color="C0C0C0"/>
              <w:right w:val="single" w:sz="6" w:space="0" w:color="C0C0C0"/>
            </w:tcBorders>
            <w:shd w:fill="auto" w:val="clear"/>
            <w:vAlign w:val="center"/>
          </w:tcPr>
          <w:p>
            <w:pPr>
              <w:pStyle w:val="Normal1"/>
              <w:widowControl w:val="false"/>
              <w:shd w:val="clear" w:fill="FFFFFF"/>
              <w:spacing w:lineRule="auto" w:line="240" w:before="57" w:after="0"/>
              <w:ind w:right="-30"/>
              <w:jc w:val="center"/>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03</w:t>
            </w:r>
          </w:p>
        </w:tc>
      </w:tr>
    </w:tbl>
    <w:p>
      <w:pPr>
        <w:pStyle w:val="Normal1"/>
        <w:shd w:val="clear" w:fill="FFFFFF"/>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6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Nota explicativa </w:t>
            </w:r>
            <w:r>
              <w:rPr>
                <w:rFonts w:eastAsia="Arial" w:cs="Arial" w:ascii="Arial" w:hAnsi="Arial"/>
                <w:b/>
                <w:i w:val="false"/>
                <w:caps w:val="false"/>
                <w:smallCaps w:val="false"/>
                <w:strike w:val="false"/>
                <w:dstrike w:val="false"/>
                <w:color w:val="000000"/>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color w:val="000000"/>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color w:val="000000"/>
              </w:rPr>
              <w:fldChar w:fldCharType="separate"/>
            </w:r>
            <w:r>
              <w:rPr>
                <w:smallCaps w:val="false"/>
                <w:caps w:val="false"/>
                <w:dstrike w:val="false"/>
                <w:strike w:val="false"/>
                <w:vertAlign w:val="baseline"/>
                <w:position w:val="0"/>
                <w:sz w:val="20"/>
                <w:sz w:val="20"/>
                <w:i w:val="false"/>
                <w:b/>
                <w:szCs w:val="20"/>
                <w:rFonts w:eastAsia="Arial" w:cs="Arial" w:ascii="Arial" w:hAnsi="Arial"/>
                <w:color w:val="000000"/>
              </w:rPr>
              <w:t>40</w:t>
            </w:r>
            <w:r>
              <w:rPr>
                <w:smallCaps w:val="false"/>
                <w:caps w:val="false"/>
                <w:dstrike w:val="false"/>
                <w:strike w:val="false"/>
                <w:vertAlign w:val="baseline"/>
                <w:position w:val="0"/>
                <w:sz w:val="20"/>
                <w:sz w:val="20"/>
                <w:i w:val="false"/>
                <w:b/>
                <w:szCs w:val="20"/>
                <w:rFonts w:eastAsia="Arial" w:cs="Arial" w:ascii="Arial" w:hAnsi="Arial"/>
                <w:color w:val="000000"/>
              </w:rPr>
              <w:fldChar w:fldCharType="end"/>
            </w:r>
            <w:r>
              <w:rPr>
                <w:rFonts w:eastAsia="Arial" w:cs="Arial" w:ascii="Arial" w:hAnsi="Arial"/>
                <w:b/>
                <w:i w:val="false"/>
                <w:caps w:val="false"/>
                <w:smallCaps w:val="false"/>
                <w:strike w:val="false"/>
                <w:dstrike w:val="false"/>
                <w:color w:val="000000"/>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A autoridade poderá incluir na tabela de infrações outras condutas que entender necessárias, pertinentes ao serviço prestado, ou retirar as que entender serem inadequadas ao objeto contratual em questão.</w:t>
            </w:r>
          </w:p>
        </w:tc>
      </w:tr>
    </w:tbl>
    <w:p>
      <w:pPr>
        <w:pStyle w:val="Normal1"/>
        <w:shd w:val="clear" w:fill="FFFFFF"/>
        <w:spacing w:lineRule="auto" w:line="240" w:before="57" w:after="0"/>
        <w:ind w:hanging="0" w:left="9" w:right="-55"/>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18.18.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penalidades de multa decorrentes de fatos diversos serão consideradas independentes entre si.</w:t>
      </w:r>
    </w:p>
    <w:p>
      <w:pPr>
        <w:pStyle w:val="Normal1"/>
        <w:widowControl w:val="false"/>
        <w:shd w:val="clear" w:fill="FFFFFF"/>
        <w:tabs>
          <w:tab w:val="clear" w:pos="720"/>
          <w:tab w:val="left" w:pos="0" w:leader="none"/>
          <w:tab w:val="left" w:pos="993"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18.19. </w:t>
      </w:r>
      <w:r>
        <w:rPr>
          <w:rFonts w:eastAsia="Arial" w:cs="Arial" w:ascii="Arial" w:hAnsi="Arial"/>
          <w:b w:val="false"/>
          <w:i w:val="false"/>
          <w:caps w:val="false"/>
          <w:smallCaps w:val="false"/>
          <w:strike w:val="false"/>
          <w:dstrike w:val="false"/>
          <w:color w:val="000000"/>
          <w:position w:val="0"/>
          <w:sz w:val="20"/>
          <w:sz w:val="20"/>
          <w:szCs w:val="20"/>
          <w:vertAlign w:val="baseline"/>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18.20. </w:t>
      </w:r>
      <w:r>
        <w:rPr>
          <w:rFonts w:eastAsia="Arial" w:cs="Arial" w:ascii="Arial" w:hAnsi="Arial"/>
          <w:b w:val="false"/>
          <w:i w:val="false"/>
          <w:caps w:val="false"/>
          <w:smallCaps w:val="false"/>
          <w:strike w:val="false"/>
          <w:dstrike w:val="false"/>
          <w:position w:val="0"/>
          <w:sz w:val="20"/>
          <w:sz w:val="20"/>
          <w:szCs w:val="20"/>
          <w:highlight w:val="white"/>
          <w:vertAlign w:val="baseline"/>
        </w:rPr>
        <w:t>Impedimento de contratar</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no âmbito da Administração Pública direta e indireta do Estado do Paraná</w:t>
      </w:r>
      <w:r>
        <w:rPr>
          <w:rFonts w:eastAsia="Arial" w:cs="Arial" w:ascii="Arial" w:hAnsi="Arial"/>
          <w:b w:val="false"/>
          <w:i w:val="false"/>
          <w:caps w:val="false"/>
          <w:smallCaps w:val="false"/>
          <w:strike w:val="false"/>
          <w:dstrike w:val="false"/>
          <w:position w:val="0"/>
          <w:sz w:val="20"/>
          <w:sz w:val="20"/>
          <w:szCs w:val="20"/>
          <w:highlight w:val="white"/>
          <w:vertAlign w:val="baseline"/>
        </w:rPr>
        <w:t>, por prazo não superior a 3 (três) anos, nos casos e na forma previstos na Lei Federal nº 14.133/2021 e no Decreto Estadual nº 10.086/2022;</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18.21.</w:t>
      </w: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inidoneidade para licitar e contratar com o Estado, nos casos e na forma previstos na Lei Federal nº 14.133/2021 e no Decreto Estadual nº 10.086/2022;</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18.22.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As sanções de advertência; impedimento de licitar e contratar; e </w:t>
      </w:r>
      <w:r>
        <w:rPr>
          <w:rFonts w:eastAsia="Arial" w:cs="Arial" w:ascii="Arial" w:hAnsi="Arial"/>
          <w:b w:val="false"/>
          <w:i w:val="false"/>
          <w:caps w:val="false"/>
          <w:smallCaps w:val="false"/>
          <w:strike w:val="false"/>
          <w:dstrike w:val="false"/>
          <w:position w:val="0"/>
          <w:sz w:val="20"/>
          <w:sz w:val="20"/>
          <w:szCs w:val="20"/>
          <w:vertAlign w:val="baseline"/>
        </w:rPr>
        <w:t>declaração de inidoneidade para licitar ou contratar,</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poderão ser aplicadas cumulativamente com a pena de multa.</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18.23. </w:t>
      </w:r>
      <w:r>
        <w:rPr>
          <w:rFonts w:eastAsia="Arial" w:cs="Arial" w:ascii="Arial" w:hAnsi="Arial"/>
          <w:b w:val="false"/>
          <w:i w:val="false"/>
          <w:caps w:val="false"/>
          <w:smallCaps w:val="false"/>
          <w:strike w:val="false"/>
          <w:dstrike w:val="false"/>
          <w:position w:val="0"/>
          <w:sz w:val="20"/>
          <w:sz w:val="20"/>
          <w:szCs w:val="20"/>
          <w:highlight w:val="white"/>
          <w:vertAlign w:val="baseline"/>
        </w:rPr>
        <w:t>S</w:t>
      </w:r>
      <w:r>
        <w:rPr>
          <w:rFonts w:eastAsia="Arial" w:cs="Arial" w:ascii="Arial" w:hAnsi="Arial"/>
          <w:b w:val="false"/>
          <w:i w:val="false"/>
          <w:caps w:val="false"/>
          <w:smallCaps w:val="false"/>
          <w:strike w:val="false"/>
          <w:dstrike w:val="false"/>
          <w:position w:val="0"/>
          <w:sz w:val="20"/>
          <w:sz w:val="20"/>
          <w:szCs w:val="20"/>
          <w:vertAlign w:val="baseline"/>
        </w:rPr>
        <w:t>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18.24.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Após encerramento do processo administrativo,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 importância devida correspondente à aplicação de multa deverá ser recolhida junto ao CONTRATANTE em até 5 (cinco) dias úteis, contados da notificação do CONTRATADO.</w:t>
      </w:r>
    </w:p>
    <w:p>
      <w:pPr>
        <w:pStyle w:val="Normal1"/>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19. CLÁUSULA DÉCIMA NONA – DO RECEBIMENTO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19.1.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Executado o contrato o seu objeto será recebido</w:t>
      </w:r>
    </w:p>
    <w:p>
      <w:pPr>
        <w:pStyle w:val="Normal1"/>
        <w:widowControl w:val="false"/>
        <w:shd w:val="clear" w:fill="FFFFFF"/>
        <w:tabs>
          <w:tab w:val="clear" w:pos="720"/>
          <w:tab w:val="left" w:pos="-10800" w:leader="none"/>
          <w:tab w:val="left" w:pos="-98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19.1.2.</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Provisoriamente, quando da conclusão da obra ou serviço, pelo fiscal do contrato ou por comissão de no mínimo 3 (três) membros 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máxima de</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___ (_________)</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dias.</w:t>
      </w:r>
    </w:p>
    <w:p>
      <w:pPr>
        <w:pStyle w:val="Normal1"/>
        <w:widowControl w:val="false"/>
        <w:shd w:val="clear" w:fill="FFFFFF"/>
        <w:tabs>
          <w:tab w:val="clear" w:pos="720"/>
          <w:tab w:val="left" w:pos="-10800" w:leader="none"/>
          <w:tab w:val="left" w:pos="-98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19.1.3.</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Definitivamente, por comissão designada pela autoridade competente, sem a participação do fiscal do contrato, mediante termo circunstanciado, assinado pelas partes e pelo usuário, após o decurso do prazo de</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observação ou de vistoria que comprove a adequação do objeto aos termos contratuais.</w:t>
      </w:r>
    </w:p>
    <w:p>
      <w:pPr>
        <w:pStyle w:val="Normal1"/>
        <w:widowControl w:val="false"/>
        <w:shd w:val="clear" w:fill="FFFFFF"/>
        <w:tabs>
          <w:tab w:val="clear" w:pos="720"/>
          <w:tab w:val="left" w:pos="0" w:leader="none"/>
          <w:tab w:val="left" w:pos="993" w:leader="none"/>
        </w:tabs>
        <w:spacing w:lineRule="auto" w:line="240" w:before="57" w:after="57"/>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spacing w:lineRule="auto" w:line="240" w:before="0" w:after="0"/>
              <w:ind w:right="-1"/>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41</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(Obs. As notas explicativas são meramente orientativas. Portanto, devem ser excluídas do edital a ser publicado)</w:t>
            </w:r>
          </w:p>
          <w:p>
            <w:pPr>
              <w:pStyle w:val="Normal1"/>
              <w:widowControl/>
              <w:shd w:val="clear" w:fill="FFFF00"/>
              <w:spacing w:lineRule="auto" w:line="240" w:before="0" w:after="57"/>
              <w:ind w:firstLine="9" w:left="-9" w:right="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depender da complexidade da obra ou serviço, cabe ao gestor do órgão ou entidade contratante determinar se o recebimento provisório será realizado pelo fiscal da obra ou serviço de engenharia ou por comissão, conforme o contido no item 19.1.1.</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comissão a ser nomeada para o recebimento definitivo não deverá ter a participação do fiscal e do gestor do contrato.</w:t>
            </w:r>
          </w:p>
          <w:p>
            <w:pPr>
              <w:pStyle w:val="Normal1"/>
              <w:widowControl/>
              <w:shd w:val="clear" w:fill="FFFF00"/>
              <w:spacing w:lineRule="auto" w:line="240" w:before="0" w:after="57"/>
              <w:ind w:firstLine="9" w:left="-9"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O prazo para o recebimento definitivo será determinado de acordo com a complexidade e ou vulto da obra ou serviço de engenharia.</w:t>
            </w:r>
          </w:p>
        </w:tc>
      </w:tr>
    </w:tbl>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responsáveis pelo recebimento deverão lavrar termo de notificação anterior ao termo de recebimento provisório ou definitivo sempre que as obras ou serviços não apresentarem condições de aceitação. O termo de notificação deverá caracterizar os vícios, defeitos e incorreções constatados e determinar prazo para saneamento.</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19.2.1.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CONTRATADO é obrigada a reparar, corrigir, remover, reconstruir ou substituir, às suas expensas, no total ou em parte, o objeto do contrato em que se verificarem vícios, defeitos ou incorreções resultantes da execução ou de materiais empregados.</w:t>
      </w:r>
    </w:p>
    <w:p>
      <w:pPr>
        <w:pStyle w:val="Normal1"/>
        <w:widowControl w:val="false"/>
        <w:shd w:val="clear" w:fill="FFFFFF"/>
        <w:tabs>
          <w:tab w:val="clear" w:pos="720"/>
          <w:tab w:val="left" w:pos="-10517" w:leader="none"/>
          <w:tab w:val="left" w:pos="-9524" w:leader="none"/>
        </w:tabs>
        <w:spacing w:lineRule="auto" w:line="240" w:before="57" w:after="57"/>
        <w:ind w:hanging="0" w:left="283" w:right="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19.2.2.</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Decorrido o prazo fixado, os responsáveis procederão nova verificação objetivando o recebimento, que somente será lavrado quando as obras ou serviços apresentarem perfeitas condições.</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19.3.</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Nas obras ou serviços será lavrado termo de recebimento provisório, e, decorridos </w:t>
      </w:r>
      <w:r>
        <w:rPr>
          <w:rFonts w:eastAsia="Arial" w:cs="Arial" w:ascii="Arial" w:hAnsi="Arial"/>
          <w:b w:val="false"/>
          <w:i w:val="false"/>
          <w:caps w:val="false"/>
          <w:smallCaps w:val="false"/>
          <w:strike w:val="false"/>
          <w:dstrike w:val="false"/>
          <w:position w:val="0"/>
          <w:sz w:val="20"/>
          <w:sz w:val="20"/>
          <w:szCs w:val="20"/>
          <w:highlight w:val="yellow"/>
          <w:vertAlign w:val="baseline"/>
        </w:rPr>
        <w:t xml:space="preserve">XXX (XXXX) </w:t>
      </w:r>
      <w:r>
        <w:rPr>
          <w:rFonts w:eastAsia="Arial" w:cs="Arial" w:ascii="Arial" w:hAnsi="Arial"/>
          <w:b w:val="false"/>
          <w:i w:val="false"/>
          <w:caps w:val="false"/>
          <w:smallCaps w:val="false"/>
          <w:strike w:val="false"/>
          <w:dstrike w:val="false"/>
          <w:position w:val="0"/>
          <w:sz w:val="20"/>
          <w:sz w:val="20"/>
          <w:szCs w:val="20"/>
          <w:highlight w:val="white"/>
          <w:vertAlign w:val="baseline"/>
        </w:rPr>
        <w:t>dias do recebimento provisório, será lavrado termo de recebimento definitivo.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19.4.</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 recebimento provisório ou definitivo não exclui a responsabilidade civil do CONTRATADO pela solidez e segurança da obra, assim pelos materiais, como não a exime da responsabilidade ético-profissional pela perfeita execução do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19.5.</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Para o recebimento definitivo, o CONTRATADO deverá entregar ao CONTRATANTE, conforme o caso, os seguintes documentos.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 Relatório de Recomendações e Instruções de Utilização e Uso das instalações e equipamentos, acompanhado de eventuais catálogos e tabelas de fabricantes e montadores.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b) Termos de garantia das instalações e dos equipamentos;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c) Comprovante de Vistoria do Corpo de Bombeiros local;</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d) Certidão negativa de débito – CND/INSS da matrícula da obra e Certidão negativa do FGTS em plena validade;</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e) Comprovantes das Vistorias das Companhias Concessionárias de telefone, de esgoto (inclusive águas pluviais), e de abastecimento de gás, de energia elétrica e de água;</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f) Comprovantes de verificação de funcionamento emitido pelos responsáveis pelas instalações de equipamentos eletromecânicos;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g) Comprovantes do pagamento de taxas de ligação de esgoto e às redes das companhias concessionárias;</w:t>
      </w:r>
    </w:p>
    <w:p>
      <w:pPr>
        <w:pStyle w:val="Normal1"/>
        <w:keepNext w:val="false"/>
        <w:keepLines w:val="false"/>
        <w:pageBreakBefore w:val="false"/>
        <w:widowControl/>
        <w:shd w:val="clear" w:fill="FFFFFF"/>
        <w:spacing w:lineRule="auto" w:line="240" w:before="57" w:after="57"/>
        <w:ind w:hanging="0" w:left="283"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h) Comprovante de Conclusão da Obra ou Habite-se emitido pelo órgão competente do Município. Em caso de não obtenção deverá ser apresentada justificativa emitida pelo órgão competente, atestado pelo gestor do contrato.</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19.6.</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Os termos de recebimento definidos neste capítulo constituem atos administrativos anuláveis nas hipóteses de erro ou ignorância, dolo, coação, simulação, fraude, incapacidade dos agentes públicos, impossibilidade jurídica ou ilicitude.</w:t>
      </w:r>
    </w:p>
    <w:p>
      <w:pPr>
        <w:pStyle w:val="Normal1"/>
        <w:widowControl w:val="false"/>
        <w:shd w:val="clear" w:fill="FFFFFF"/>
        <w:tabs>
          <w:tab w:val="clear" w:pos="720"/>
          <w:tab w:val="left" w:pos="-7200" w:leader="none"/>
          <w:tab w:val="left" w:pos="-6207" w:leader="none"/>
        </w:tabs>
        <w:spacing w:lineRule="auto" w:line="240" w:before="57" w:after="57"/>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62"/>
        <w:tblW w:w="9075" w:type="dxa"/>
        <w:jc w:val="left"/>
        <w:tblInd w:w="-55" w:type="dxa"/>
        <w:tblLayout w:type="fixed"/>
        <w:tblCellMar>
          <w:top w:w="0" w:type="dxa"/>
          <w:left w:w="108" w:type="dxa"/>
          <w:bottom w:w="0" w:type="dxa"/>
          <w:right w:w="108" w:type="dxa"/>
        </w:tblCellMar>
        <w:tblLook w:val="0000"/>
      </w:tblPr>
      <w:tblGrid>
        <w:gridCol w:w="9075"/>
      </w:tblGrid>
      <w:tr>
        <w:trPr>
          <w:trHeight w:val="1308" w:hRule="atLeast"/>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42</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(Obs. As notas explicativas são meramente orientativas. Portanto, devem ser excluídas do edital a ser publicado)</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 presente minuta foi elaborada sem a inclusão de cláusula compromissória.</w:t>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No caso de adoção de cláusula compromissória, conforme o estabelecido no art. 726 do Decreto n.º 10.086/2022, o órgão/entidade deverá utilizar o texto da cláusula compromissória aprovada pela PGE.</w:t>
            </w:r>
          </w:p>
          <w:p>
            <w:pPr>
              <w:pStyle w:val="Normal1"/>
              <w:keepNext w:val="false"/>
              <w:keepLines w:val="false"/>
              <w:widowControl/>
              <w:shd w:val="clear" w:fill="FFFF00"/>
              <w:spacing w:lineRule="auto" w:line="240" w:before="57" w:after="57"/>
              <w:ind w:hanging="0" w:left="360" w:right="0"/>
              <w:jc w:val="both"/>
              <w:rPr>
                <w:rFonts w:ascii="Arial" w:hAnsi="Arial"/>
                <w:sz w:val="20"/>
                <w:szCs w:val="20"/>
              </w:rPr>
            </w:pPr>
            <w:r>
              <w:rPr>
                <w:rFonts w:eastAsia="Arial" w:cs="Arial" w:ascii="Arial" w:hAnsi="Arial"/>
                <w:b w:val="false"/>
                <w:i/>
                <w:caps w:val="false"/>
                <w:smallCaps w:val="false"/>
                <w:strike w:val="false"/>
                <w:dstrike w:val="false"/>
                <w:color w:val="FF0000"/>
                <w:position w:val="0"/>
                <w:sz w:val="20"/>
                <w:sz w:val="20"/>
                <w:szCs w:val="20"/>
                <w:u w:val="none"/>
                <w:shd w:fill="auto" w:val="clear"/>
                <w:vertAlign w:val="baseline"/>
              </w:rPr>
              <w:t>Art. 726. Os contratos de concessão de serviços públicos, as concessões patrocinadas e administrativas poderão conter cláusula compromissória.</w:t>
            </w:r>
          </w:p>
          <w:p>
            <w:pPr>
              <w:pStyle w:val="Normal1"/>
              <w:keepNext w:val="false"/>
              <w:keepLines w:val="false"/>
              <w:widowControl/>
              <w:shd w:val="clear" w:fill="FFFF00"/>
              <w:spacing w:lineRule="auto" w:line="240" w:before="57" w:after="57"/>
              <w:ind w:hanging="0" w:left="360" w:right="0"/>
              <w:jc w:val="both"/>
              <w:rPr>
                <w:rFonts w:ascii="Arial" w:hAnsi="Arial"/>
                <w:sz w:val="20"/>
                <w:szCs w:val="20"/>
              </w:rPr>
            </w:pPr>
            <w:r>
              <w:rPr>
                <w:rFonts w:eastAsia="Arial" w:cs="Arial" w:ascii="Arial" w:hAnsi="Arial"/>
                <w:b w:val="false"/>
                <w:i/>
                <w:caps w:val="false"/>
                <w:smallCaps w:val="false"/>
                <w:strike w:val="false"/>
                <w:dstrike w:val="false"/>
                <w:color w:val="FF0000"/>
                <w:position w:val="0"/>
                <w:sz w:val="20"/>
                <w:sz w:val="20"/>
                <w:szCs w:val="20"/>
                <w:u w:val="none"/>
                <w:shd w:fill="auto" w:val="clear"/>
                <w:vertAlign w:val="baseline"/>
              </w:rPr>
              <w:t>§ 1º Poderá, ainda, conter cláusula compromissória qualquer outro contrato ou ajuste cujo valor exceda a R$ 20.000.000,00 (vinte milhões de reais).</w:t>
            </w:r>
          </w:p>
          <w:p>
            <w:pPr>
              <w:pStyle w:val="Normal1"/>
              <w:keepNext w:val="false"/>
              <w:keepLines w:val="false"/>
              <w:widowControl/>
              <w:shd w:val="clear" w:fill="FFFF00"/>
              <w:spacing w:lineRule="auto" w:line="240" w:before="57" w:after="57"/>
              <w:ind w:hanging="0" w:left="360" w:right="0"/>
              <w:jc w:val="both"/>
              <w:rPr>
                <w:rFonts w:ascii="Arial" w:hAnsi="Arial"/>
                <w:sz w:val="20"/>
                <w:szCs w:val="20"/>
              </w:rPr>
            </w:pPr>
            <w:r>
              <w:rPr>
                <w:rFonts w:eastAsia="Arial" w:cs="Arial" w:ascii="Arial" w:hAnsi="Arial"/>
                <w:b w:val="false"/>
                <w:i/>
                <w:caps w:val="false"/>
                <w:smallCaps w:val="false"/>
                <w:strike w:val="false"/>
                <w:dstrike w:val="false"/>
                <w:color w:val="FF0000"/>
                <w:position w:val="0"/>
                <w:sz w:val="20"/>
                <w:sz w:val="20"/>
                <w:szCs w:val="20"/>
                <w:u w:val="none"/>
                <w:shd w:fill="auto" w:val="clear"/>
                <w:vertAlign w:val="baseline"/>
              </w:rPr>
              <w:t>§ 2º A Procuradoria-Geral do Estado padronizará, mediante Resolução, o texto das cláusulas compromissórias.</w:t>
            </w:r>
          </w:p>
          <w:p>
            <w:pPr>
              <w:pStyle w:val="Normal1"/>
              <w:keepNext w:val="false"/>
              <w:keepLines w:val="false"/>
              <w:widowControl/>
              <w:shd w:val="clear" w:fill="FFFF00"/>
              <w:spacing w:lineRule="auto" w:line="240" w:before="57" w:after="57"/>
              <w:ind w:hanging="0" w:left="360" w:right="0"/>
              <w:jc w:val="both"/>
              <w:rPr>
                <w:rFonts w:ascii="Arial" w:hAnsi="Arial"/>
                <w:sz w:val="20"/>
                <w:szCs w:val="20"/>
              </w:rPr>
            </w:pPr>
            <w:r>
              <w:rPr>
                <w:rFonts w:eastAsia="Arial" w:cs="Arial" w:ascii="Arial" w:hAnsi="Arial"/>
                <w:b w:val="false"/>
                <w:i/>
                <w:caps w:val="false"/>
                <w:smallCaps w:val="false"/>
                <w:strike w:val="false"/>
                <w:dstrike w:val="false"/>
                <w:color w:val="FF0000"/>
                <w:position w:val="0"/>
                <w:sz w:val="20"/>
                <w:sz w:val="20"/>
                <w:szCs w:val="20"/>
                <w:u w:val="none"/>
                <w:shd w:fill="auto" w:val="clear"/>
                <w:vertAlign w:val="baseline"/>
              </w:rPr>
              <w:t>§ 3º As cláusulas compromissórias adotarão a forma escalonada, devendo as partes submeter-se à mediação prévia à instauração da arbitragem.</w:t>
            </w:r>
          </w:p>
          <w:p>
            <w:pPr>
              <w:pStyle w:val="Normal1"/>
              <w:keepNext w:val="false"/>
              <w:keepLines w:val="false"/>
              <w:widowControl/>
              <w:shd w:val="clear" w:fill="FFFF00"/>
              <w:spacing w:lineRule="auto" w:line="240" w:before="57" w:after="57"/>
              <w:ind w:hanging="0" w:left="360" w:right="0"/>
              <w:jc w:val="both"/>
              <w:rPr>
                <w:rFonts w:ascii="Arial" w:hAnsi="Arial"/>
                <w:sz w:val="20"/>
                <w:szCs w:val="20"/>
              </w:rPr>
            </w:pPr>
            <w:r>
              <w:rPr>
                <w:rFonts w:eastAsia="Arial" w:cs="Arial" w:ascii="Arial" w:hAnsi="Arial"/>
                <w:b w:val="false"/>
                <w:i/>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0" w:after="20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No caso de inserção de cláusula compromissória (cláusula 18), a numeração dos itens do contrato deverá ser ajustada na sequência.</w:t>
            </w:r>
          </w:p>
        </w:tc>
      </w:tr>
    </w:tbl>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20. CLÁUSULA VIGÉSIMA – DOS RECURSOS ADMINISTRATIVOS.</w:t>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Dos atos do CONTRATANTE decorrentes da aplicação deste Contrato cabem recursos administrativos nas formas previstas em lei.</w:t>
      </w:r>
    </w:p>
    <w:p>
      <w:pPr>
        <w:pStyle w:val="Normal1"/>
        <w:widowControl w:val="false"/>
        <w:shd w:val="clear" w:fill="FFFFFF"/>
        <w:tabs>
          <w:tab w:val="clear" w:pos="720"/>
          <w:tab w:val="left" w:pos="0" w:leader="none"/>
          <w:tab w:val="left" w:pos="993"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21. CLÁUSULA VIGÉSIMA SEGUNDA – DO FORO</w:t>
      </w:r>
    </w:p>
    <w:p>
      <w:pPr>
        <w:pStyle w:val="Normal1"/>
        <w:widowControl w:val="false"/>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21.1.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Fica eleito o Foro Central da Comarca da Região Metropolitana de Curitiba, com renúncia expressa de qualquer outro, por mais privilegiado que seja, para dirimir quaisquer dúvidas ou controvérsias originadas das obrigações reciprocamente assumidas neste contrato.</w:t>
      </w:r>
    </w:p>
    <w:p>
      <w:pPr>
        <w:pStyle w:val="Normal1"/>
        <w:widowControl w:val="false"/>
        <w:shd w:val="clear" w:fill="FFFFFF"/>
        <w:tabs>
          <w:tab w:val="left" w:pos="720" w:leader="none"/>
          <w:tab w:val="left" w:pos="1713" w:leader="none"/>
        </w:tabs>
        <w:spacing w:lineRule="auto" w:line="240" w:before="57" w:after="0"/>
        <w:ind w:hanging="0" w:left="720"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 por assim haverem justo e contratado, é o presente assinado pelos representantes legais das partes contratantes.</w:t>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Curitiba, __ de ________ de 20__.</w:t>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3"/>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Autoridade Competente do órgão/entidade Licitante</w:t>
            </w:r>
          </w:p>
        </w:tc>
      </w:tr>
    </w:tbl>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64"/>
        <w:tblW w:w="9072" w:type="dxa"/>
        <w:jc w:val="left"/>
        <w:tblInd w:w="0" w:type="dxa"/>
        <w:tblLayout w:type="fixed"/>
        <w:tblCellMar>
          <w:top w:w="0" w:type="dxa"/>
          <w:left w:w="108" w:type="dxa"/>
          <w:bottom w:w="0" w:type="dxa"/>
          <w:right w:w="108" w:type="dxa"/>
        </w:tblCellMar>
        <w:tblLook w:val="0000"/>
      </w:tblPr>
      <w:tblGrid>
        <w:gridCol w:w="9072"/>
      </w:tblGrid>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_________________________________________________________</w:t>
            </w:r>
          </w:p>
        </w:tc>
      </w:tr>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 _____________________________</w:t>
            </w:r>
          </w:p>
        </w:tc>
      </w:tr>
      <w:tr>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do Contratado</w:t>
            </w:r>
          </w:p>
        </w:tc>
      </w:tr>
    </w:tbl>
    <w:p>
      <w:pPr>
        <w:pStyle w:val="Normal1"/>
        <w:widowControl w:val="false"/>
        <w:shd w:val="clear" w:fill="FFFFFF"/>
        <w:tabs>
          <w:tab w:val="clear" w:pos="720"/>
          <w:tab w:val="left" w:pos="0"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0" w:leader="none"/>
        </w:tabs>
        <w:spacing w:lineRule="auto" w:line="240" w:before="57" w:after="0"/>
        <w:jc w:val="both"/>
        <w:rPr>
          <w:rFonts w:ascii="Arial" w:hAnsi="Arial" w:eastAsia="Arial" w:cs="Arial"/>
          <w:strike/>
          <w:color w:val="FF0000"/>
          <w:position w:val="0"/>
          <w:sz w:val="20"/>
          <w:sz w:val="20"/>
          <w:szCs w:val="20"/>
          <w:highlight w:val="white"/>
          <w:u w:val="single"/>
          <w:vertAlign w:val="baseline"/>
        </w:rPr>
      </w:pPr>
      <w:r>
        <w:rPr>
          <w:rFonts w:eastAsia="Arial" w:cs="Arial" w:ascii="Arial" w:hAnsi="Arial"/>
          <w:strike/>
          <w:color w:val="FF0000"/>
          <w:position w:val="0"/>
          <w:sz w:val="20"/>
          <w:sz w:val="20"/>
          <w:szCs w:val="20"/>
          <w:highlight w:val="white"/>
          <w:u w:val="single"/>
          <w:vertAlign w:val="baseline"/>
        </w:rPr>
      </w:r>
      <w:r>
        <w:br w:type="page"/>
      </w:r>
    </w:p>
    <w:p>
      <w:pPr>
        <w:pStyle w:val="Normal1"/>
        <w:shd w:val="clear" w:fill="FFFFFF"/>
        <w:spacing w:lineRule="auto" w:line="240" w:before="0" w:after="0"/>
        <w:ind w:right="-30"/>
        <w:jc w:val="both"/>
        <w:rPr>
          <w:rFonts w:ascii="Arial" w:hAnsi="Arial" w:eastAsia="Arial" w:cs="Arial"/>
          <w:strike/>
          <w:color w:val="FF0000"/>
          <w:position w:val="0"/>
          <w:sz w:val="20"/>
          <w:sz w:val="20"/>
          <w:szCs w:val="20"/>
          <w:highlight w:val="white"/>
          <w:u w:val="single"/>
          <w:vertAlign w:val="baseline"/>
        </w:rPr>
      </w:pPr>
      <w:r>
        <w:rPr>
          <w:rFonts w:eastAsia="Arial" w:cs="Arial" w:ascii="Arial" w:hAnsi="Arial"/>
          <w:strike/>
          <w:color w:val="FF0000"/>
          <w:position w:val="0"/>
          <w:sz w:val="20"/>
          <w:sz w:val="20"/>
          <w:szCs w:val="20"/>
          <w:highlight w:val="white"/>
          <w:u w:val="single"/>
          <w:vertAlign w:val="baseline"/>
        </w:rPr>
      </w:r>
    </w:p>
    <w:tbl>
      <w:tblPr>
        <w:tblStyle w:val="Table65"/>
        <w:tblW w:w="9092" w:type="dxa"/>
        <w:jc w:val="left"/>
        <w:tblInd w:w="-3" w:type="dxa"/>
        <w:tblLayout w:type="fixed"/>
        <w:tblCellMar>
          <w:top w:w="0" w:type="dxa"/>
          <w:left w:w="108" w:type="dxa"/>
          <w:bottom w:w="0" w:type="dxa"/>
          <w:right w:w="108" w:type="dxa"/>
        </w:tblCellMar>
        <w:tblLook w:val="0000"/>
      </w:tblPr>
      <w:tblGrid>
        <w:gridCol w:w="2273"/>
        <w:gridCol w:w="6818"/>
      </w:tblGrid>
      <w:tr>
        <w:trPr>
          <w:cantSplit w:val="true"/>
        </w:trPr>
        <w:tc>
          <w:tcPr>
            <w:tcW w:w="9091" w:type="dxa"/>
            <w:gridSpan w:val="2"/>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w:t>
            </w:r>
          </w:p>
        </w:tc>
      </w:tr>
      <w:tr>
        <w:trPr>
          <w:cantSplit w:val="true"/>
        </w:trPr>
        <w:tc>
          <w:tcPr>
            <w:tcW w:w="9091" w:type="dxa"/>
            <w:gridSpan w:val="2"/>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MINUTA DA ORDEM DE SERVIÇO</w:t>
            </w:r>
          </w:p>
        </w:tc>
      </w:tr>
      <w:tr>
        <w:trPr>
          <w:cantSplit w:val="true"/>
        </w:trPr>
        <w:tc>
          <w:tcPr>
            <w:tcW w:w="9091" w:type="dxa"/>
            <w:gridSpan w:val="2"/>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227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PROTOCOLO: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EDITAL: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Pregão Eletrônico n.º ____/20__ GMS</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____________________________________________________________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PRAZO EXECUÇÃO: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 (________________) dias</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 /20__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EMPRESA:</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________________________, localizada à Rua ___________________, no Município de _________, Estado do __________, CEP ___________, Fone (___) __________, E-mail ________________________________, CNPJ n.º ___________________.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CONTRATUAL: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 ______________ (________________________________________), sendo __,__% (_____________ por cento) referente a materiais e ___% (__________ por cento) referente a mão de obra.</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RECURSO:</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Empenho n.º __________, Dotação Orçamentária __________________, Projeto Atividade ______________, Natureza da Despesa ___________, Fonte ______ –  __________, datado de ___/________/20__.</w:t>
            </w:r>
          </w:p>
        </w:tc>
      </w:tr>
      <w:tr>
        <w:trPr/>
        <w:tc>
          <w:tcPr>
            <w:tcW w:w="2273" w:type="dxa"/>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FISCAL:</w:t>
            </w:r>
          </w:p>
        </w:tc>
        <w:tc>
          <w:tcPr>
            <w:tcW w:w="68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57"/>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Eng./Arqt. ________________ CREA/CAU PR N.º _______________.</w:t>
            </w:r>
          </w:p>
        </w:tc>
      </w:tr>
      <w:tr>
        <w:trPr>
          <w:cantSplit w:val="true"/>
        </w:trPr>
        <w:tc>
          <w:tcPr>
            <w:tcW w:w="9091"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1" w:type="dxa"/>
            <w:gridSpan w:val="2"/>
            <w:tcBorders/>
            <w:shd w:fill="auto" w:val="clear"/>
            <w:vAlign w:val="center"/>
          </w:tcPr>
          <w:p>
            <w:pPr>
              <w:pStyle w:val="Normal1"/>
              <w:shd w:val="clear" w:fill="FFFFFF"/>
              <w:tabs>
                <w:tab w:val="clear" w:pos="720"/>
                <w:tab w:val="left" w:pos="0"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Pela presente Ordem de Serviço, o prazo de execução do ajuste, de acordo com a Cláusula Terceira do Contrato, deverá ser contado a partir de __ de _______ de 20__, ficando a empresa autorizada ao início dos trabalhos.</w:t>
            </w:r>
          </w:p>
        </w:tc>
      </w:tr>
      <w:tr>
        <w:trPr>
          <w:cantSplit w:val="true"/>
        </w:trPr>
        <w:tc>
          <w:tcPr>
            <w:tcW w:w="9091"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Autoridade Competente do órgão/entidade Licitante</w:t>
            </w:r>
          </w:p>
        </w:tc>
      </w:tr>
      <w:tr>
        <w:trPr>
          <w:cantSplit w:val="true"/>
        </w:trPr>
        <w:tc>
          <w:tcPr>
            <w:tcW w:w="9091"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ACEITE DA ORDEM DE SERVIÇO</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Curitiba, em  ddd do mmmm de 202X</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_________________________________________________________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 _____________________________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Contratada</w:t>
            </w:r>
          </w:p>
        </w:tc>
      </w:tr>
      <w:tr>
        <w:trPr>
          <w:cantSplit w:val="true"/>
        </w:trPr>
        <w:tc>
          <w:tcPr>
            <w:tcW w:w="9091"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Eng./Arqt. ____________________________________ – CREA/CAU N.º _________________</w:t>
            </w:r>
          </w:p>
        </w:tc>
      </w:tr>
      <w:tr>
        <w:trPr>
          <w:cantSplit w:val="true"/>
        </w:trPr>
        <w:tc>
          <w:tcPr>
            <w:tcW w:w="9091" w:type="dxa"/>
            <w:gridSpan w:val="2"/>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 Técnico da Contratada</w:t>
            </w:r>
          </w:p>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0" w:leader="none"/>
        </w:tabs>
        <w:spacing w:lineRule="auto" w:line="240" w:before="57" w:after="0"/>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r>
        <w:br w:type="page"/>
      </w:r>
    </w:p>
    <w:tbl>
      <w:tblPr>
        <w:tblStyle w:val="Table66"/>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III</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CARTA PROPOSTA DE PREÇOS</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Empresa _________________________________________, CNPJ/MF ____________________, com sede na cidade de __________, estado do ________, sito _____________________________, n.º ____, CEP ________–____, Telefone (___) ____________, E-mail _______________________, propõe à(ao) (Nome do órgão/entidade licitante) a execução do objeto da Licitação suprarreferenciada, tudo em conformidade com o edital, o contrato e os anexos da licitação em referência.</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preço proposto é de R$ ______________ (________________________________________), sendo ____% (_________ por cento) referente aos materiais e ____% (___________ por cento) referente à mão de obra.</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O prazo de validade da Proposta será de, no mínimo, </w:t>
            </w:r>
            <w:r>
              <w:rPr>
                <w:rFonts w:eastAsia="Arial" w:cs="Arial" w:ascii="Arial" w:hAnsi="Arial"/>
                <w:b w:val="false"/>
                <w:i w:val="false"/>
                <w:caps w:val="false"/>
                <w:smallCaps w:val="false"/>
                <w:strike w:val="false"/>
                <w:dstrike w:val="false"/>
                <w:position w:val="0"/>
                <w:sz w:val="20"/>
                <w:sz w:val="20"/>
                <w:szCs w:val="20"/>
                <w:highlight w:val="yellow"/>
                <w:vertAlign w:val="baseline"/>
              </w:rPr>
              <w:t>XXXX (XXXXXXXXX)</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dias corridos, contados a partir da data de abertura da Licitação.</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 vencedor da licitação, assinará o contrato administrativo, na qualidade de representante legal, o(a) Sr.(a) ____________________________________, portador(a) do CPF __________________</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 será responsável técnico pelos serviços o(a) Sr.(a) _____________________________________, Título ____________________________, CREA/n.º e/ou CAU/n.º __________________.</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Obs. Caso haja divergência entre o valor numérico e o valor por extenso da proposta, prevalecerá o valor por extenso.</w:t>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67"/>
        <w:tblW w:w="9089" w:type="dxa"/>
        <w:jc w:val="left"/>
        <w:tblInd w:w="-3" w:type="dxa"/>
        <w:tblLayout w:type="fixed"/>
        <w:tblCellMar>
          <w:top w:w="0" w:type="dxa"/>
          <w:left w:w="108" w:type="dxa"/>
          <w:bottom w:w="0" w:type="dxa"/>
          <w:right w:w="108" w:type="dxa"/>
        </w:tblCellMar>
        <w:tblLook w:val="0000"/>
      </w:tblPr>
      <w:tblGrid>
        <w:gridCol w:w="4545"/>
        <w:gridCol w:w="4543"/>
      </w:tblGrid>
      <w:tr>
        <w:trPr>
          <w:cantSplit w:val="true"/>
        </w:trPr>
        <w:tc>
          <w:tcPr>
            <w:tcW w:w="9088" w:type="dxa"/>
            <w:gridSpan w:val="2"/>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IV</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MICROEMPRESA OU EMPRESA DE PEQUENO PORTE</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2"/>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trPr>
          <w:cantSplit w:val="true"/>
        </w:trPr>
        <w:tc>
          <w:tcPr>
            <w:tcW w:w="9088" w:type="dxa"/>
            <w:gridSpan w:val="2"/>
            <w:tcBorders/>
            <w:shd w:fill="auto" w:val="clear"/>
          </w:tcPr>
          <w:p>
            <w:pPr>
              <w:pStyle w:val="Normal1"/>
              <w:widowControl w:val="false"/>
              <w:shd w:val="clear" w:fill="FFFFFF"/>
              <w:spacing w:lineRule="auto" w:line="240" w:before="57" w:after="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Declara ainda que, não extrapolou a receita bruta máxima admitida para fins de enquadramento como microempresa ou empresa de pequeno porte no ano-calendário de realização da licitação, nos termos do § 2º do Art. 4º da Lei Federal n.º14.133/2022.</w:t>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2"/>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r>
      <w:tr>
        <w:trPr>
          <w:cantSplit w:val="true"/>
        </w:trPr>
        <w:tc>
          <w:tcPr>
            <w:tcW w:w="9088" w:type="dxa"/>
            <w:gridSpan w:val="2"/>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45"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543"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68"/>
        <w:tblW w:w="9093" w:type="dxa"/>
        <w:jc w:val="left"/>
        <w:tblInd w:w="-3" w:type="dxa"/>
        <w:tblLayout w:type="fixed"/>
        <w:tblCellMar>
          <w:top w:w="0" w:type="dxa"/>
          <w:left w:w="108" w:type="dxa"/>
          <w:bottom w:w="0" w:type="dxa"/>
          <w:right w:w="108" w:type="dxa"/>
        </w:tblCellMar>
        <w:tblLook w:val="0000"/>
      </w:tblPr>
      <w:tblGrid>
        <w:gridCol w:w="270"/>
        <w:gridCol w:w="147"/>
        <w:gridCol w:w="4114"/>
        <w:gridCol w:w="1139"/>
        <w:gridCol w:w="3423"/>
      </w:tblGrid>
      <w:tr>
        <w:trPr>
          <w:cantSplit w:val="true"/>
        </w:trPr>
        <w:tc>
          <w:tcPr>
            <w:tcW w:w="9093" w:type="dxa"/>
            <w:gridSpan w:val="5"/>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RESPONSABILIDADE TÉCNICA</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abaixo-assinado, na qualidade de responsável legal pela empresa _______________________ vem, pela presente, indicar a V.Sas. o(s) profissional(is) Responsável(is) Técnico(s), de acordo com a Lei Federal n.º 5.194/1966 e com as Resoluções n.º 218/73 e n.º 317/83 do CONFEA – Conselho Federal de Engenharia e Agronomia, com a Lei Federal n.º 12.378/2010 e com o § 9.º do art. 67 da Lei Federal n.º 14.133/2021, caso venhamos a vencer a referida licitação.</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Profissional(is) Responsável(is) Técnico(s) pelos serviços contratados: (*)</w:t>
            </w:r>
          </w:p>
        </w:tc>
      </w:tr>
      <w:tr>
        <w:trPr>
          <w:cantSplit w:val="true"/>
        </w:trPr>
        <w:tc>
          <w:tcPr>
            <w:tcW w:w="270"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____________________________</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5400"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Título:</w:t>
            </w:r>
          </w:p>
        </w:tc>
        <w:tc>
          <w:tcPr>
            <w:tcW w:w="342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CREA e/ou CAU n.º</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Atribuição: Responsável pelo(a) _______________________________________________ (**)</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70"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5400"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Título:</w:t>
            </w:r>
          </w:p>
        </w:tc>
        <w:tc>
          <w:tcPr>
            <w:tcW w:w="3423"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CREA e/ou CAU n.º</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Atribuição: Responsável pelo(a) _______________________________________________ (**)</w:t>
            </w:r>
          </w:p>
        </w:tc>
      </w:tr>
      <w:tr>
        <w:trPr>
          <w:cantSplit w:val="true"/>
        </w:trPr>
        <w:tc>
          <w:tcPr>
            <w:tcW w:w="27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823" w:type="dxa"/>
            <w:gridSpan w:val="4"/>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70" w:type="dxa"/>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823" w:type="dxa"/>
            <w:gridSpan w:val="4"/>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Obs.: Repetir com os dados solicitados acima até completar a equipe técnica proposta</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3" w:type="dxa"/>
            <w:gridSpan w:val="5"/>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3" w:type="dxa"/>
            <w:gridSpan w:val="5"/>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31" w:type="dxa"/>
            <w:gridSpan w:val="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562" w:type="dxa"/>
            <w:gridSpan w:val="2"/>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Responsável(is) Técnico(s) (quando couber):</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CREA e/ou CAU N.º</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r>
      <w:tr>
        <w:trPr>
          <w:cantSplit w:val="true"/>
        </w:trPr>
        <w:tc>
          <w:tcPr>
            <w:tcW w:w="9093" w:type="dxa"/>
            <w:gridSpan w:val="5"/>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17" w:type="dxa"/>
            <w:gridSpan w:val="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8676"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Indicar todos os responsáveis técnicos (engenheiros, arquitetos, etc.) que compõem a equipe técnica proposta.</w:t>
            </w:r>
          </w:p>
        </w:tc>
      </w:tr>
      <w:tr>
        <w:trPr>
          <w:cantSplit w:val="true"/>
        </w:trPr>
        <w:tc>
          <w:tcPr>
            <w:tcW w:w="417" w:type="dxa"/>
            <w:gridSpan w:val="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8676"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Indicar qual é o tipo do serviço sob a responsabilidade do profissional indicado e conforme a equipe técnica proposta.</w:t>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69"/>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w:t>
            </w:r>
          </w:p>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CUMPRIMENTO DE EXIGÊNCIAS LEGAIS E CONSTITUCIONAIS</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Signatário da presente, _____________________________ Carteira de Identidade n.º_________, representante legal, em nome da Empresa _______________________, CNPJ/MF _____________, declara:</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Concordar, na íntegra, com os termos da Licitação e com todos documentos dela componentes;</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acatará integralmente qualquer decisão que venha a ser tomada pelo Órgão Licitante quanto à sua habilitação;</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3)</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não existe, no presente momento, pedido de falência em nome desta empresa e que a mesma se submete à automática inabilitação, caso tal venha a ocorrer durante o processo de Licitação;</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4)</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Sob as penalidades cabíveis, a não superveniência de fato impeditivo da habilitação;</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5)</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a empresa é idônea e atende a todos os pré-requisitos da Licitação e demais exigências contidas na Lei Federal n.º 14.133/2021;</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não se enquadra nas hipóteses previstas no § 1.º do art. 9.º e no art. 14 ambos da Lei Federal n.º 14.133/2021, atendendo às condições de participação da Licitação e legislação vigente;</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7)</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assume total responsabilidade pelas informações prestadas e, em qualquer tempo, exime o ora contratante de quaisquer ônus civil e penal que lhe possa acarretar;</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8)</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fará prova de todas as informações ora declaradas, quando necessário ou solicitado e que se compromete a apresentar a documentação original, quando a mesma for solicitada pelo Pregoeiro ou sua Equipe de Apoio, no prazo que o mesmo estipular;</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9)</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10)</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Que para fins do disposto no inciso IV do art. 63 da Lei Federal n.º 14.133/2021, cumpre as exigências de reserva de cargos para pessoa com deficiência e para reabilitado da Previdência Social, previstas em lei e em outras normas específicas.</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11)</w:t>
            </w:r>
          </w:p>
        </w:tc>
        <w:tc>
          <w:tcPr>
            <w:tcW w:w="8671" w:type="dxa"/>
            <w:gridSpan w:val="2"/>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 xml:space="preserve">Que para fins do disposto no inciso VI do art. 68 da Lei Federal n.º 14.133/2021 e inciso XXXIII, artigo 7º da Constituição Federal, não emprega menor de dezoito anos em trabalho noturno, perigoso ou insalubre e não emprega menor de dezesseis anos. (Caso empregue menor, a partir de quatorze anos, na condição de aprendiz, </w:t>
            </w:r>
            <w:r>
              <w:rPr>
                <w:rFonts w:eastAsia="Arial" w:cs="Arial" w:ascii="Arial" w:hAnsi="Arial"/>
                <w:b w:val="false"/>
                <w:i w:val="false"/>
                <w:caps w:val="false"/>
                <w:smallCaps w:val="false"/>
                <w:strike w:val="false"/>
                <w:dstrike w:val="false"/>
                <w:position w:val="0"/>
                <w:sz w:val="20"/>
                <w:sz w:val="20"/>
                <w:szCs w:val="20"/>
                <w:u w:val="single"/>
                <w:vertAlign w:val="baseline"/>
              </w:rPr>
              <w:t>deverá fazer a ressalva</w:t>
            </w:r>
            <w:r>
              <w:rPr>
                <w:rFonts w:eastAsia="Arial" w:cs="Arial" w:ascii="Arial" w:hAnsi="Arial"/>
                <w:b w:val="false"/>
                <w:i w:val="false"/>
                <w:caps w:val="false"/>
                <w:smallCaps w:val="false"/>
                <w:strike w:val="false"/>
                <w:dstrike w:val="false"/>
                <w:position w:val="0"/>
                <w:sz w:val="20"/>
                <w:sz w:val="20"/>
                <w:szCs w:val="20"/>
                <w:vertAlign w:val="baseline"/>
              </w:rPr>
              <w:t>).</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12)</w:t>
            </w:r>
          </w:p>
        </w:tc>
        <w:tc>
          <w:tcPr>
            <w:tcW w:w="8671" w:type="dxa"/>
            <w:gridSpan w:val="2"/>
            <w:tcBorders/>
            <w:shd w:fill="auto" w:val="clear"/>
          </w:tcPr>
          <w:p>
            <w:pPr>
              <w:pStyle w:val="Normal1"/>
              <w:widowControl w:val="false"/>
              <w:shd w:val="clear" w:fill="FFFFFF"/>
              <w:spacing w:lineRule="auto" w:line="240" w:before="57" w:after="57"/>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vertAlign w:val="baseline"/>
              </w:rPr>
              <w:t>13)</w:t>
            </w:r>
          </w:p>
        </w:tc>
        <w:tc>
          <w:tcPr>
            <w:tcW w:w="8671" w:type="dxa"/>
            <w:gridSpan w:val="2"/>
            <w:tcBorders/>
            <w:shd w:fill="auto" w:val="clear"/>
          </w:tcPr>
          <w:p>
            <w:pPr>
              <w:pStyle w:val="Normal1"/>
              <w:widowControl w:val="false"/>
              <w:shd w:val="clear" w:fill="FFFFFF"/>
              <w:spacing w:lineRule="auto" w:line="240" w:before="57" w:after="57"/>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trPr>
          <w:cantSplit w:val="true"/>
        </w:trPr>
        <w:tc>
          <w:tcPr>
            <w:tcW w:w="9088" w:type="dxa"/>
            <w:gridSpan w:val="3"/>
            <w:tcBorders/>
            <w:shd w:fill="auto" w:val="clear"/>
          </w:tcPr>
          <w:p>
            <w:pPr>
              <w:pStyle w:val="Normal1"/>
              <w:widowControl w:val="false"/>
              <w:shd w:val="clear" w:fill="FFFFFF"/>
              <w:spacing w:lineRule="auto" w:line="240" w:before="57" w:after="0"/>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70"/>
        <w:tblW w:w="9089" w:type="dxa"/>
        <w:jc w:val="left"/>
        <w:tblInd w:w="-3" w:type="dxa"/>
        <w:tblLayout w:type="fixed"/>
        <w:tblCellMar>
          <w:top w:w="0" w:type="dxa"/>
          <w:left w:w="108" w:type="dxa"/>
          <w:bottom w:w="0" w:type="dxa"/>
          <w:right w:w="108" w:type="dxa"/>
        </w:tblCellMar>
        <w:tblLook w:val="0000"/>
      </w:tblPr>
      <w:tblGrid>
        <w:gridCol w:w="417"/>
        <w:gridCol w:w="4127"/>
        <w:gridCol w:w="4544"/>
      </w:tblGrid>
      <w:tr>
        <w:trPr>
          <w:cantSplit w:val="true"/>
        </w:trPr>
        <w:tc>
          <w:tcPr>
            <w:tcW w:w="9088" w:type="dxa"/>
            <w:gridSpan w:val="3"/>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MODELO DO TERMO DE CIÊNCIA DAS CONDIÇÕES LOCAIS (vistoria)</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trPr>
          <w:cantSplit w:val="true"/>
        </w:trPr>
        <w:tc>
          <w:tcPr>
            <w:tcW w:w="9088"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671" w:type="dxa"/>
            <w:gridSpan w:val="2"/>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7" w:type="dxa"/>
            <w:tcBorders/>
            <w:shd w:fill="auto" w:val="clear"/>
          </w:tcPr>
          <w:p>
            <w:pPr>
              <w:pStyle w:val="Normal1"/>
              <w:widowControl w:val="false"/>
              <w:shd w:val="clear" w:fill="FFFFFF"/>
              <w:spacing w:lineRule="auto" w:line="240" w:before="57" w:after="0"/>
              <w:ind w:right="57"/>
              <w:jc w:val="righ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671" w:type="dxa"/>
            <w:gridSpan w:val="2"/>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trPr>
          <w:cantSplit w:val="true"/>
        </w:trPr>
        <w:tc>
          <w:tcPr>
            <w:tcW w:w="9088" w:type="dxa"/>
            <w:gridSpan w:val="3"/>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r>
      <w:tr>
        <w:trPr>
          <w:cantSplit w:val="true"/>
        </w:trPr>
        <w:tc>
          <w:tcPr>
            <w:tcW w:w="9088" w:type="dxa"/>
            <w:gridSpan w:val="3"/>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544"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 Técnico do Licitante pela visita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CREA e/ou CAU N.º</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544"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71"/>
        <w:tblW w:w="9094" w:type="dxa"/>
        <w:jc w:val="left"/>
        <w:tblInd w:w="-3" w:type="dxa"/>
        <w:tblLayout w:type="fixed"/>
        <w:tblCellMar>
          <w:top w:w="0" w:type="dxa"/>
          <w:left w:w="108" w:type="dxa"/>
          <w:bottom w:w="0" w:type="dxa"/>
          <w:right w:w="108" w:type="dxa"/>
        </w:tblCellMar>
        <w:tblLook w:val="0000"/>
      </w:tblPr>
      <w:tblGrid>
        <w:gridCol w:w="411"/>
        <w:gridCol w:w="3559"/>
        <w:gridCol w:w="563"/>
        <w:gridCol w:w="4561"/>
      </w:tblGrid>
      <w:tr>
        <w:trPr>
          <w:cantSplit w:val="true"/>
        </w:trPr>
        <w:tc>
          <w:tcPr>
            <w:tcW w:w="9094" w:type="dxa"/>
            <w:gridSpan w:val="4"/>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VIII</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COMPROMISSO DE UTILIZAÇÃO DE PRODUTOS E SUBPRODUTOS DE MADEIRA E DE GERENCIAMENTO DE RESÍDUOS DA CONSTRUÇÃO CIVIL</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____/20__ GMS</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Eu, ______________________________, RG _____________, legalmente nomeado Representante Legal da Empresa ______________________, CNPJ _______________, para o fim de qualificação técnica no procedimento licitatório suprarreferido, declaro, sob as penas da lei, que para a execução da(s) obra(s) e serviço(s) de engenharia objeto da referida licitação a empresa cumprirá as exigências legais ambientais, e em especial:</w:t>
            </w:r>
          </w:p>
        </w:tc>
      </w:tr>
      <w:tr>
        <w:trPr>
          <w:cantSplit w:val="true"/>
        </w:trPr>
        <w:tc>
          <w:tcPr>
            <w:tcW w:w="9094" w:type="dxa"/>
            <w:gridSpan w:val="4"/>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5" w:hRule="atLeast"/>
          <w:cantSplit w:val="true"/>
        </w:trPr>
        <w:tc>
          <w:tcPr>
            <w:tcW w:w="411"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683" w:type="dxa"/>
            <w:gridSpan w:val="3"/>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às sanções administrativas previstas no art. 156 da Lei Federal n.º 14.133, de 2021 e nos arts. 193 ao 227 do Decreto 10.086, de 2022, sem prejuízo das implicações de ordem criminal previstas em Lei.</w:t>
            </w:r>
          </w:p>
        </w:tc>
      </w:tr>
      <w:tr>
        <w:trPr>
          <w:trHeight w:val="245" w:hRule="atLeast"/>
          <w:cantSplit w:val="true"/>
        </w:trPr>
        <w:tc>
          <w:tcPr>
            <w:tcW w:w="411" w:type="dxa"/>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683" w:type="dxa"/>
            <w:gridSpan w:val="3"/>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 que diz respeito ao Gerenciamento de Resíduos da Construção Civil, a obra será realizada de acordo com a Resolução do CONAMA n.º 307, de 5 de julho de 2002 e suas alterações, e com a legislação pertinente do município onde a mesma será construída.</w:t>
            </w:r>
          </w:p>
        </w:tc>
      </w:tr>
      <w:tr>
        <w:trPr>
          <w:cantSplit w:val="true"/>
        </w:trPr>
        <w:tc>
          <w:tcPr>
            <w:tcW w:w="9094" w:type="dxa"/>
            <w:gridSpan w:val="4"/>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4" w:type="dxa"/>
            <w:gridSpan w:val="4"/>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em ___ de _______________ 201_.</w:t>
            </w:r>
          </w:p>
        </w:tc>
      </w:tr>
      <w:tr>
        <w:trPr>
          <w:cantSplit w:val="true"/>
        </w:trPr>
        <w:tc>
          <w:tcPr>
            <w:tcW w:w="9094" w:type="dxa"/>
            <w:gridSpan w:val="4"/>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3970"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56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OU</w:t>
            </w:r>
          </w:p>
        </w:tc>
        <w:tc>
          <w:tcPr>
            <w:tcW w:w="4561"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Responsável técnico do licitante: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72"/>
        <w:tblW w:w="9143" w:type="dxa"/>
        <w:jc w:val="left"/>
        <w:tblInd w:w="0" w:type="dxa"/>
        <w:tblLayout w:type="fixed"/>
        <w:tblCellMar>
          <w:top w:w="0" w:type="dxa"/>
          <w:left w:w="108" w:type="dxa"/>
          <w:bottom w:w="0" w:type="dxa"/>
          <w:right w:w="108" w:type="dxa"/>
        </w:tblCellMar>
        <w:tblLook w:val="0000"/>
      </w:tblPr>
      <w:tblGrid>
        <w:gridCol w:w="384"/>
        <w:gridCol w:w="149"/>
        <w:gridCol w:w="265"/>
        <w:gridCol w:w="386"/>
        <w:gridCol w:w="47"/>
        <w:gridCol w:w="143"/>
        <w:gridCol w:w="247"/>
        <w:gridCol w:w="388"/>
        <w:gridCol w:w="66"/>
        <w:gridCol w:w="346"/>
        <w:gridCol w:w="43"/>
        <w:gridCol w:w="371"/>
        <w:gridCol w:w="46"/>
        <w:gridCol w:w="112"/>
        <w:gridCol w:w="47"/>
        <w:gridCol w:w="364"/>
        <w:gridCol w:w="351"/>
        <w:gridCol w:w="64"/>
        <w:gridCol w:w="163"/>
        <w:gridCol w:w="244"/>
        <w:gridCol w:w="116"/>
        <w:gridCol w:w="149"/>
        <w:gridCol w:w="171"/>
        <w:gridCol w:w="117"/>
        <w:gridCol w:w="299"/>
        <w:gridCol w:w="385"/>
        <w:gridCol w:w="74"/>
        <w:gridCol w:w="85"/>
        <w:gridCol w:w="277"/>
        <w:gridCol w:w="73"/>
        <w:gridCol w:w="87"/>
        <w:gridCol w:w="65"/>
        <w:gridCol w:w="234"/>
        <w:gridCol w:w="138"/>
        <w:gridCol w:w="43"/>
        <w:gridCol w:w="372"/>
        <w:gridCol w:w="48"/>
        <w:gridCol w:w="204"/>
        <w:gridCol w:w="182"/>
        <w:gridCol w:w="180"/>
        <w:gridCol w:w="235"/>
        <w:gridCol w:w="387"/>
        <w:gridCol w:w="318"/>
        <w:gridCol w:w="96"/>
        <w:gridCol w:w="84"/>
        <w:gridCol w:w="405"/>
        <w:gridCol w:w="91"/>
      </w:tblGrid>
      <w:tr>
        <w:trPr>
          <w:cantSplit w:val="true"/>
        </w:trPr>
        <w:tc>
          <w:tcPr>
            <w:tcW w:w="9050" w:type="dxa"/>
            <w:gridSpan w:val="46"/>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IX</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DECLARAÇÃO DE ATENDIMENTO AOS REQUISITOS DE HABILITAÇÃO E CAPACIDADE OPERACIONAL FINANCEIRA</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Concorrência n.º ____/20__ GMS</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DECLARAMOS, nos termos do § 8º do art. 67 da Lei Federal n.º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está em função do patrimônio líquido atualizado e sua capacidade de rotação.</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DEMONSTRAÇÕES:</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0"/>
                <w:numId w:val="7"/>
              </w:numPr>
              <w:shd w:val="clear" w:fill="FFFFFF"/>
              <w:tabs>
                <w:tab w:val="clear" w:pos="720"/>
                <w:tab w:val="left" w:pos="568" w:leader="none"/>
              </w:tabs>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CÁLCULO DO SALDO CONTRATUAL (SC):</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54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Item</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 do Contrato</w:t>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Obra ou Serviços</w:t>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do Compromisso (R$)</w:t>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Já Faturado</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Contratante</w:t>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3</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4</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5</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7</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8</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9</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10</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533" w:type="dxa"/>
            <w:gridSpan w:val="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841" w:type="dxa"/>
            <w:gridSpan w:val="4"/>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381"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60" w:hRule="atLeast"/>
          <w:cantSplit w:val="true"/>
        </w:trPr>
        <w:tc>
          <w:tcPr>
            <w:tcW w:w="3755" w:type="dxa"/>
            <w:gridSpan w:val="17"/>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right="142"/>
              <w:jc w:val="right"/>
              <w:rPr>
                <w:rFonts w:ascii="Arial" w:hAnsi="Arial"/>
                <w:sz w:val="20"/>
                <w:szCs w:val="20"/>
              </w:rPr>
            </w:pPr>
            <w:sdt>
              <w:sdtPr>
                <w:tag w:val="goog_rdk_0"/>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SOMATÓRIOS (∑) =  </w:t>
                </w:r>
              </w:sdtContent>
            </w:sdt>
          </w:p>
        </w:tc>
        <w:tc>
          <w:tcPr>
            <w:tcW w:w="1867"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903" w:type="dxa"/>
            <w:gridSpan w:val="1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1616"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22" w:type="dxa"/>
            <w:gridSpan w:val="28"/>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sdt>
              <w:sdtPr>
                <w:tag w:val="goog_rdk_1"/>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Valor do compromisso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5622" w:type="dxa"/>
            <w:gridSpan w:val="28"/>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sdt>
              <w:sdtPr>
                <w:tag w:val="goog_rdk_2"/>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Valor já faturado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1231" w:type="dxa"/>
            <w:gridSpan w:val="5"/>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4391" w:type="dxa"/>
            <w:gridSpan w:val="23"/>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sdt>
              <w:sdtPr>
                <w:tag w:val="goog_rdk_3"/>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Valor do compromisso – ∑ Valor já faturado =</w:t>
                </w:r>
              </w:sdtContent>
            </w:sdt>
          </w:p>
        </w:tc>
        <w:tc>
          <w:tcPr>
            <w:tcW w:w="3519" w:type="dxa"/>
            <w:gridSpan w:val="1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Saldo Contratual</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Diferença entre a somatória dos compromissos e a somatória dos valores já faturados referentes aos compromissos.</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0"/>
                <w:numId w:val="7"/>
              </w:numPr>
              <w:shd w:val="clear" w:fill="FFFFFF"/>
              <w:tabs>
                <w:tab w:val="clear" w:pos="720"/>
                <w:tab w:val="left" w:pos="568" w:leader="none"/>
              </w:tabs>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CÁLCULO DA DISPONIBILIDADE FINANCEIRA OPERACIONAL:</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ÍNDICE DE LIQUIDEZ CORRENTE (ILC):</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ILC =</w:t>
            </w:r>
          </w:p>
        </w:tc>
        <w:tc>
          <w:tcPr>
            <w:tcW w:w="2267" w:type="dxa"/>
            <w:gridSpan w:val="1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w:t>
            </w:r>
          </w:p>
        </w:tc>
        <w:tc>
          <w:tcPr>
            <w:tcW w:w="437" w:type="dxa"/>
            <w:gridSpan w:val="3"/>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783" w:type="dxa"/>
            <w:gridSpan w:val="1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267" w:type="dxa"/>
            <w:gridSpan w:val="1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w:t>
            </w:r>
          </w:p>
        </w:tc>
        <w:tc>
          <w:tcPr>
            <w:tcW w:w="437"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783" w:type="dxa"/>
            <w:gridSpan w:val="1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ÍNDICE DE LIQUIDEZ GERAL (ILG):</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ILG =</w:t>
            </w:r>
          </w:p>
        </w:tc>
        <w:tc>
          <w:tcPr>
            <w:tcW w:w="4464" w:type="dxa"/>
            <w:gridSpan w:val="26"/>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 + Realizável a Longo Prazo</w:t>
            </w:r>
          </w:p>
        </w:tc>
        <w:tc>
          <w:tcPr>
            <w:tcW w:w="420" w:type="dxa"/>
            <w:gridSpan w:val="2"/>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06" w:type="dxa"/>
            <w:gridSpan w:val="6"/>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676" w:type="dxa"/>
            <w:gridSpan w:val="4"/>
            <w:vMerge w:val="restart"/>
            <w:tcBorders>
              <w:top w:val="single" w:sz="4" w:space="0" w:color="000080"/>
              <w:left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464" w:type="dxa"/>
            <w:gridSpan w:val="26"/>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à Longo Prazo</w:t>
            </w:r>
          </w:p>
        </w:tc>
        <w:tc>
          <w:tcPr>
            <w:tcW w:w="420"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1506"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676" w:type="dxa"/>
            <w:gridSpan w:val="4"/>
            <w:vMerge w:val="continue"/>
            <w:tcBorders>
              <w:top w:val="single" w:sz="4" w:space="0" w:color="000080"/>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GRAU DE ENDIVIDAMENTO (GE):</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 =</w:t>
            </w:r>
          </w:p>
        </w:tc>
        <w:tc>
          <w:tcPr>
            <w:tcW w:w="4464" w:type="dxa"/>
            <w:gridSpan w:val="26"/>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a Longo Prazo</w:t>
            </w:r>
          </w:p>
        </w:tc>
        <w:tc>
          <w:tcPr>
            <w:tcW w:w="420" w:type="dxa"/>
            <w:gridSpan w:val="2"/>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06" w:type="dxa"/>
            <w:gridSpan w:val="6"/>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676" w:type="dxa"/>
            <w:gridSpan w:val="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4464" w:type="dxa"/>
            <w:gridSpan w:val="26"/>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Total</w:t>
            </w:r>
          </w:p>
        </w:tc>
        <w:tc>
          <w:tcPr>
            <w:tcW w:w="420" w:type="dxa"/>
            <w:gridSpan w:val="2"/>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1506" w:type="dxa"/>
            <w:gridSpan w:val="6"/>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676" w:type="dxa"/>
            <w:gridSpan w:val="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PATRIMONIAL (VP):</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VP =</w:t>
            </w:r>
          </w:p>
        </w:tc>
        <w:tc>
          <w:tcPr>
            <w:tcW w:w="2267" w:type="dxa"/>
            <w:gridSpan w:val="1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c>
          <w:tcPr>
            <w:tcW w:w="437" w:type="dxa"/>
            <w:gridSpan w:val="3"/>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79" w:type="dxa"/>
            <w:gridSpan w:val="9"/>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783" w:type="dxa"/>
            <w:gridSpan w:val="14"/>
            <w:vMerge w:val="restart"/>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267" w:type="dxa"/>
            <w:gridSpan w:val="12"/>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Capital Social</w:t>
            </w:r>
          </w:p>
        </w:tc>
        <w:tc>
          <w:tcPr>
            <w:tcW w:w="437" w:type="dxa"/>
            <w:gridSpan w:val="3"/>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1579" w:type="dxa"/>
            <w:gridSpan w:val="9"/>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783" w:type="dxa"/>
            <w:gridSpan w:val="14"/>
            <w:vMerge w:val="continue"/>
            <w:tcBorders>
              <w:top w:val="single" w:sz="4" w:space="0" w:color="000080"/>
              <w:left w:val="single" w:sz="4" w:space="0" w:color="000080"/>
              <w:bottom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CÁLCULO DOS COEFICIENTES K5, K6, K7 e Kf:</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CAPACIDADE</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ÍNDICES</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w:t>
            </w:r>
          </w:p>
        </w:tc>
        <w:tc>
          <w:tcPr>
            <w:tcW w:w="1626"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PESO</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p>
        </w:tc>
        <w:tc>
          <w:tcPr>
            <w:tcW w:w="1978"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(1) X (2)</w:t>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CORRENTE – ILC</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6"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978"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GERAL – ILG</w:t>
            </w:r>
          </w:p>
        </w:tc>
        <w:tc>
          <w:tcPr>
            <w:tcW w:w="1555" w:type="dxa"/>
            <w:gridSpan w:val="8"/>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6" w:type="dxa"/>
            <w:gridSpan w:val="11"/>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1978" w:type="dxa"/>
            <w:gridSpan w:val="9"/>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3982" w:type="dxa"/>
            <w:gridSpan w:val="19"/>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PATRIMONIAL – VP</w:t>
            </w:r>
          </w:p>
        </w:tc>
        <w:tc>
          <w:tcPr>
            <w:tcW w:w="1555" w:type="dxa"/>
            <w:gridSpan w:val="8"/>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626" w:type="dxa"/>
            <w:gridSpan w:val="11"/>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978" w:type="dxa"/>
            <w:gridSpan w:val="9"/>
            <w:tcBorders>
              <w:top w:val="single" w:sz="4" w:space="0" w:color="000080"/>
              <w:left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50" w:type="dxa"/>
            <w:gridSpan w:val="46"/>
            <w:tcBorders>
              <w:top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2881" w:type="dxa"/>
            <w:gridSpan w:val="1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K5</w:t>
            </w:r>
          </w:p>
        </w:tc>
        <w:tc>
          <w:tcPr>
            <w:tcW w:w="159"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32" w:type="dxa"/>
            <w:gridSpan w:val="15"/>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K6</w:t>
            </w:r>
          </w:p>
        </w:tc>
        <w:tc>
          <w:tcPr>
            <w:tcW w:w="152"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17" w:type="dxa"/>
            <w:gridSpan w:val="15"/>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K7</w:t>
            </w:r>
          </w:p>
        </w:tc>
      </w:tr>
      <w:tr>
        <w:trPr>
          <w:trHeight w:val="300" w:hRule="atLeast"/>
          <w:cantSplit w:val="true"/>
        </w:trPr>
        <w:tc>
          <w:tcPr>
            <w:tcW w:w="2464"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ILC</w:t>
            </w:r>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K5</w:t>
            </w:r>
          </w:p>
        </w:tc>
        <w:tc>
          <w:tcPr>
            <w:tcW w:w="159"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497"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ILG</w:t>
            </w:r>
          </w:p>
        </w:tc>
        <w:tc>
          <w:tcPr>
            <w:tcW w:w="435"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K6</w:t>
            </w:r>
          </w:p>
        </w:tc>
        <w:tc>
          <w:tcPr>
            <w:tcW w:w="152"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1"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VP</w:t>
            </w:r>
          </w:p>
        </w:tc>
        <w:tc>
          <w:tcPr>
            <w:tcW w:w="496" w:type="dxa"/>
            <w:gridSpan w:val="2"/>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K7</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c>
          <w:tcPr>
            <w:tcW w:w="158" w:type="dxa"/>
            <w:gridSpan w:val="2"/>
            <w:vMerge w:val="restart"/>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385"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60" w:type="dxa"/>
            <w:gridSpan w:val="2"/>
            <w:vMerge w:val="restart"/>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0,8</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385"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385"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2,1</w:t>
            </w:r>
          </w:p>
        </w:tc>
        <w:tc>
          <w:tcPr>
            <w:tcW w:w="15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385"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3,5</w:t>
            </w:r>
          </w:p>
        </w:tc>
        <w:tc>
          <w:tcPr>
            <w:tcW w:w="160"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1,4</w:t>
            </w:r>
          </w:p>
        </w:tc>
      </w:tr>
      <w:tr>
        <w:trPr>
          <w:trHeight w:val="300" w:hRule="atLeast"/>
          <w:cantSplit w:val="true"/>
        </w:trPr>
        <w:tc>
          <w:tcPr>
            <w:tcW w:w="38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8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37"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8"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12"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14" w:type="dxa"/>
            <w:gridSpan w:val="2"/>
            <w:tcBorders>
              <w:top w:val="single" w:sz="8" w:space="0" w:color="000080"/>
              <w:left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158"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1"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07"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36" w:type="dxa"/>
            <w:gridSpan w:val="3"/>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6"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385"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36" w:type="dxa"/>
            <w:gridSpan w:val="3"/>
            <w:tcBorders>
              <w:top w:val="single" w:sz="8" w:space="0" w:color="000080"/>
              <w:left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4,0</w:t>
            </w:r>
          </w:p>
        </w:tc>
        <w:tc>
          <w:tcPr>
            <w:tcW w:w="160"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7"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34" w:type="dxa"/>
            <w:gridSpan w:val="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5"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38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4"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80" w:type="dxa"/>
            <w:gridSpan w:val="3"/>
            <w:tcBorders>
              <w:top w:val="single" w:sz="8" w:space="0" w:color="000080"/>
              <w:left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w:t>
            </w:r>
          </w:p>
        </w:tc>
      </w:tr>
      <w:tr>
        <w:trPr>
          <w:trHeight w:val="300" w:hRule="atLeast"/>
          <w:cantSplit w:val="true"/>
        </w:trPr>
        <w:tc>
          <w:tcPr>
            <w:tcW w:w="2464" w:type="dxa"/>
            <w:gridSpan w:val="11"/>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K5 =</w:t>
            </w:r>
          </w:p>
        </w:tc>
        <w:tc>
          <w:tcPr>
            <w:tcW w:w="417"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9" w:type="dxa"/>
            <w:gridSpan w:val="2"/>
            <w:tcBorders>
              <w:left w:val="single" w:sz="12"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497" w:type="dxa"/>
            <w:gridSpan w:val="1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K6 =</w:t>
            </w:r>
          </w:p>
        </w:tc>
        <w:tc>
          <w:tcPr>
            <w:tcW w:w="435" w:type="dxa"/>
            <w:gridSpan w:val="3"/>
            <w:tcBorders>
              <w:top w:val="single" w:sz="12" w:space="0" w:color="000080"/>
              <w:left w:val="single" w:sz="12" w:space="0" w:color="000080"/>
              <w:bottom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2" w:type="dxa"/>
            <w:gridSpan w:val="2"/>
            <w:tcBorders>
              <w:left w:val="single" w:sz="12"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1" w:type="dxa"/>
            <w:gridSpan w:val="13"/>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K7 =</w:t>
            </w:r>
          </w:p>
        </w:tc>
        <w:tc>
          <w:tcPr>
            <w:tcW w:w="496" w:type="dxa"/>
            <w:gridSpan w:val="2"/>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Coeficiente Financeiro</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2267" w:type="dxa"/>
            <w:gridSpan w:val="12"/>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K5 + K6 + K7</w:t>
            </w:r>
          </w:p>
        </w:tc>
        <w:tc>
          <w:tcPr>
            <w:tcW w:w="437"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692" w:type="dxa"/>
            <w:gridSpan w:val="13"/>
            <w:tcBorders>
              <w:left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DISPONIBILIDADE FINANCEIRA OPERACIONAL (D):</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w:t>
            </w:r>
          </w:p>
        </w:tc>
        <w:tc>
          <w:tcPr>
            <w:tcW w:w="2267" w:type="dxa"/>
            <w:gridSpan w:val="12"/>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1,25 x Kf x PL – SC</w:t>
            </w:r>
          </w:p>
        </w:tc>
        <w:tc>
          <w:tcPr>
            <w:tcW w:w="437"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579"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85"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692" w:type="dxa"/>
            <w:gridSpan w:val="13"/>
            <w:tcBorders>
              <w:left w:val="single" w:sz="4" w:space="0" w:color="000080"/>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ind w:hanging="0" w:left="425"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 =</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2075" w:type="dxa"/>
            <w:gridSpan w:val="9"/>
            <w:tcBorders/>
            <w:shd w:fill="auto" w:val="clear"/>
            <w:vAlign w:val="cente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6975" w:type="dxa"/>
            <w:gridSpan w:val="37"/>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Saldo Contratual</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numPr>
                <w:ilvl w:val="1"/>
                <w:numId w:val="7"/>
              </w:numPr>
              <w:shd w:val="clear" w:fill="FFFFFF"/>
              <w:tabs>
                <w:tab w:val="clear" w:pos="720"/>
                <w:tab w:val="left" w:pos="852" w:leader="none"/>
              </w:tabs>
              <w:spacing w:lineRule="auto" w:line="240" w:before="57" w:after="0"/>
              <w:ind w:hanging="0" w:left="426"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Observações:</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tabs>
                <w:tab w:val="clear" w:pos="720"/>
                <w:tab w:val="left" w:pos="1134" w:leader="none"/>
              </w:tabs>
              <w:spacing w:lineRule="auto" w:line="240" w:before="57" w:after="0"/>
              <w:ind w:hanging="504" w:left="56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2"/>
                <w:numId w:val="8"/>
              </w:numPr>
              <w:shd w:val="clear" w:fill="FFFFFF"/>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Declaração deverá ser assinada pelo representante do licitante com poderes para tanto, devendo ser apresentado o instrumento de procuração caso não seja um dos representantes legais.</w:t>
            </w:r>
          </w:p>
          <w:p>
            <w:pPr>
              <w:pStyle w:val="Normal1"/>
              <w:widowControl w:val="false"/>
              <w:numPr>
                <w:ilvl w:val="2"/>
                <w:numId w:val="8"/>
              </w:numPr>
              <w:shd w:val="clear" w:fill="FFFFFF"/>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não apresentação desta Declaração poderá implicar desclassificação do licitante.</w:t>
            </w:r>
          </w:p>
          <w:p>
            <w:pPr>
              <w:pStyle w:val="Normal1"/>
              <w:widowControl w:val="false"/>
              <w:numPr>
                <w:ilvl w:val="2"/>
                <w:numId w:val="8"/>
              </w:numPr>
              <w:shd w:val="clear" w:fill="FFFFFF"/>
              <w:tabs>
                <w:tab w:val="clear" w:pos="720"/>
                <w:tab w:val="left" w:pos="1134" w:leader="none"/>
              </w:tabs>
              <w:spacing w:lineRule="auto" w:line="240" w:before="57" w:after="0"/>
              <w:ind w:hanging="0" w:left="56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tabela poderá ser ampliada para a declaração de outros compromissos acima de 10 (dez).</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vAlign w:val="center"/>
          </w:tcPr>
          <w:p>
            <w:pPr>
              <w:pStyle w:val="Normal1"/>
              <w:widowControl w:val="false"/>
              <w:shd w:val="clear" w:fill="FFFFFF"/>
              <w:tabs>
                <w:tab w:val="clear" w:pos="720"/>
                <w:tab w:val="left" w:pos="426" w:leader="none"/>
              </w:tabs>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Representante Legal e o Contador, infra-assinados, declaram que as demonstrações desta declaração correspondem à real situação financeira da empresa _____________________________</w:t>
            </w:r>
          </w:p>
          <w:p>
            <w:pPr>
              <w:pStyle w:val="Normal1"/>
              <w:widowControl w:val="false"/>
              <w:shd w:val="clear" w:fill="FFFFFF"/>
              <w:tabs>
                <w:tab w:val="clear" w:pos="720"/>
                <w:tab w:val="left" w:pos="426" w:leader="none"/>
              </w:tabs>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CNPJ/MF ____________________.</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50" w:type="dxa"/>
            <w:gridSpan w:val="46"/>
            <w:tcBorders/>
            <w:shd w:fill="auto" w:val="clea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_______________, ___ de _______________ 20__.</w:t>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cantSplit w:val="true"/>
        </w:trPr>
        <w:tc>
          <w:tcPr>
            <w:tcW w:w="9050" w:type="dxa"/>
            <w:gridSpan w:val="46"/>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91" w:type="dxa"/>
            <w:tcBorders/>
            <w:shd w:fill="auto" w:val="clea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4491" w:type="dxa"/>
            <w:gridSpan w:val="22"/>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Representante Legal da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CPF:</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N.º de registro órgão de classe (se for o caso):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c>
          <w:tcPr>
            <w:tcW w:w="4650" w:type="dxa"/>
            <w:gridSpan w:val="25"/>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Contador responsável pela Empresa:</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CRC N.º:</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Assinatura:</w:t>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73"/>
        <w:tblW w:w="9097" w:type="dxa"/>
        <w:jc w:val="left"/>
        <w:tblInd w:w="-3" w:type="dxa"/>
        <w:tblLayout w:type="fixed"/>
        <w:tblCellMar>
          <w:top w:w="0" w:type="dxa"/>
          <w:left w:w="108" w:type="dxa"/>
          <w:bottom w:w="0" w:type="dxa"/>
          <w:right w:w="108" w:type="dxa"/>
        </w:tblCellMar>
        <w:tblLook w:val="0000"/>
      </w:tblPr>
      <w:tblGrid>
        <w:gridCol w:w="1127"/>
        <w:gridCol w:w="6106"/>
        <w:gridCol w:w="1864"/>
      </w:tblGrid>
      <w:tr>
        <w:trPr>
          <w:cantSplit w:val="true"/>
        </w:trPr>
        <w:tc>
          <w:tcPr>
            <w:tcW w:w="9097" w:type="dxa"/>
            <w:gridSpan w:val="3"/>
            <w:tcBorders/>
            <w:shd w:fill="auto" w:val="clear"/>
            <w:vAlign w:val="center"/>
          </w:tcPr>
          <w:p>
            <w:pPr>
              <w:pStyle w:val="Normal1"/>
              <w:pageBreakBefore/>
              <w:widowControl w:val="fals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w:t>
            </w:r>
          </w:p>
        </w:tc>
      </w:tr>
      <w:tr>
        <w:trPr>
          <w:cantSplit w:val="true"/>
        </w:trPr>
        <w:tc>
          <w:tcPr>
            <w:tcW w:w="9097" w:type="dxa"/>
            <w:gridSpan w:val="3"/>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 DE ENCARGOS SOCIAIS SOBRE CUSTOS DA MÃO DE OBRA HORISTA</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(COM DESONERAÇÃO)</w:t>
            </w:r>
          </w:p>
        </w:tc>
      </w:tr>
      <w:tr>
        <w:trPr>
          <w:cantSplit w:val="true"/>
        </w:trPr>
        <w:tc>
          <w:tcPr>
            <w:tcW w:w="9097" w:type="dxa"/>
            <w:gridSpan w:val="3"/>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CÓDIGO</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DESCRIÇÃO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HORISTA (%)</w:t>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GRUPO A</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A1</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INSS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A2</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SESI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A3</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SENAI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A4</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INCRA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A5</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SEBRAE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A6</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Salário Educação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A7</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Seguro Contra Acidentes de Trabalho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A8</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FGTS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A9</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SECONCI</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dos Encargos Sociais Básicos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GRUPO B</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B1</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Repouso Semanal Remunerado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B2</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Feriados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B3</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Auxílio-Enfermidade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B4</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13º Salário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B5</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Licença Paternidade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B6</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Faltas Justificadas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B7</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Dias de Chuva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B8</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Auxílio Acidente de Trabalho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B9</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Férias Gozadas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ascii="Arial" w:hAnsi="Arial"/>
                <w:sz w:val="20"/>
                <w:szCs w:val="20"/>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B10</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Salário Maternidade</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dos Encargos Sociais que recebem incidência de 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GRUPO C</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C1</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Aviso Prévio Indenizado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C2</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Aviso Prévio Trabalhado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C3</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Férias Indenizadas</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C4</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Depósito Rescisão Sem Justa Causa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C5</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Indenização Adicional</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 w:right="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2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dos Encargos Sociais que não recebem incidência de A</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1" w:right="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GRUPO D</w:t>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D1</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Reincidência do Grupo A sobre o Grupo B</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48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D2</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Reincidência do Grupo A sobre Aviso Prévio Trabalhado e Reincidência do FGTS sobre Aviso Prévio Indenizado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cantSplit w:val="true"/>
        </w:trPr>
        <w:tc>
          <w:tcPr>
            <w:tcW w:w="1127"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w:t>
            </w:r>
          </w:p>
        </w:tc>
        <w:tc>
          <w:tcPr>
            <w:tcW w:w="6106"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284"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de Reincidências de um grupo sobre o outro</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10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00" w:hRule="atLeast"/>
          <w:cantSplit w:val="true"/>
        </w:trPr>
        <w:tc>
          <w:tcPr>
            <w:tcW w:w="7233" w:type="dxa"/>
            <w:gridSpan w:val="2"/>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1" w:right="1"/>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(A+B+C+D)</w:t>
            </w:r>
          </w:p>
        </w:tc>
        <w:tc>
          <w:tcPr>
            <w:tcW w:w="1864"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240" w:hRule="atLeast"/>
        </w:trPr>
        <w:tc>
          <w:tcPr>
            <w:tcW w:w="9097" w:type="dxa"/>
            <w:gridSpan w:val="3"/>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74"/>
        <w:tblW w:w="9096" w:type="dxa"/>
        <w:jc w:val="left"/>
        <w:tblInd w:w="-3" w:type="dxa"/>
        <w:tblLayout w:type="fixed"/>
        <w:tblCellMar>
          <w:top w:w="0" w:type="dxa"/>
          <w:left w:w="108" w:type="dxa"/>
          <w:bottom w:w="0" w:type="dxa"/>
          <w:right w:w="108" w:type="dxa"/>
        </w:tblCellMar>
        <w:tblLook w:val="0000"/>
      </w:tblPr>
      <w:tblGrid>
        <w:gridCol w:w="843"/>
        <w:gridCol w:w="1189"/>
        <w:gridCol w:w="853"/>
        <w:gridCol w:w="81"/>
        <w:gridCol w:w="2141"/>
        <w:gridCol w:w="695"/>
        <w:gridCol w:w="285"/>
        <w:gridCol w:w="80"/>
        <w:gridCol w:w="847"/>
        <w:gridCol w:w="363"/>
        <w:gridCol w:w="1718"/>
      </w:tblGrid>
      <w:tr>
        <w:trPr>
          <w:cantSplit w:val="true"/>
        </w:trPr>
        <w:tc>
          <w:tcPr>
            <w:tcW w:w="9095" w:type="dxa"/>
            <w:gridSpan w:val="11"/>
            <w:tcBorders/>
            <w:shd w:fill="auto" w:val="clear"/>
            <w:vAlign w:val="center"/>
          </w:tcPr>
          <w:p>
            <w:pPr>
              <w:pStyle w:val="Normal1"/>
              <w:pageBreakBefor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w:t>
            </w:r>
          </w:p>
        </w:tc>
      </w:tr>
      <w:tr>
        <w:trPr>
          <w:cantSplit w:val="true"/>
        </w:trPr>
        <w:tc>
          <w:tcPr>
            <w:tcW w:w="9095" w:type="dxa"/>
            <w:gridSpan w:val="11"/>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MODELO DA PLANILHA PARA CÁLCULO DO BDI</w:t>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À</w:t>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(Nome do órgão/entidade licitante)</w:t>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Referência: Pregão Eletrônico n.º ____/201_ GMS</w:t>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Objeto: __________________________________________________________________________</w:t>
            </w:r>
          </w:p>
        </w:tc>
      </w:tr>
      <w:tr>
        <w:trPr>
          <w:cantSplit w:val="true"/>
        </w:trPr>
        <w:tc>
          <w:tcPr>
            <w:tcW w:w="9095" w:type="dxa"/>
            <w:gridSpan w:val="11"/>
            <w:tcBorders/>
            <w:shd w:fill="auto" w:val="clear"/>
            <w:vAlign w:val="center"/>
          </w:tcPr>
          <w:p>
            <w:pPr>
              <w:pStyle w:val="Normal1"/>
              <w:widowControl w:val="false"/>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07" w:type="dxa"/>
            <w:gridSpan w:val="5"/>
            <w:tcBorders>
              <w:top w:val="single" w:sz="4" w:space="0" w:color="000080"/>
              <w:left w:val="single" w:sz="4" w:space="0" w:color="000080"/>
            </w:tcBorders>
            <w:shd w:fill="auto" w:val="clear"/>
          </w:tcPr>
          <w:p>
            <w:pPr>
              <w:pStyle w:val="Normal1"/>
              <w:widowControl w:val="false"/>
              <w:shd w:val="clear" w:fill="FFFFFF"/>
              <w:spacing w:lineRule="auto" w:line="240" w:before="57" w:after="0"/>
              <w:ind w:right="57"/>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CUSTO TOTAL DO SERVIÇO (R$):</w:t>
            </w:r>
          </w:p>
        </w:tc>
        <w:tc>
          <w:tcPr>
            <w:tcW w:w="3988" w:type="dxa"/>
            <w:gridSpan w:val="6"/>
            <w:tcBorders>
              <w:top w:val="single" w:sz="4" w:space="0" w:color="000080"/>
              <w:left w:val="single" w:sz="4" w:space="0" w:color="000080"/>
              <w:right w:val="single" w:sz="4" w:space="0" w:color="000080"/>
            </w:tcBorders>
            <w:shd w:fill="auto" w:val="clea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ITEM</w:t>
            </w:r>
          </w:p>
        </w:tc>
        <w:tc>
          <w:tcPr>
            <w:tcW w:w="4264" w:type="dxa"/>
            <w:gridSpan w:val="4"/>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DISCRIMINAÇÃO</w:t>
            </w:r>
          </w:p>
        </w:tc>
        <w:tc>
          <w:tcPr>
            <w:tcW w:w="2270" w:type="dxa"/>
            <w:gridSpan w:val="5"/>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(R$)</w:t>
            </w:r>
          </w:p>
        </w:tc>
        <w:tc>
          <w:tcPr>
            <w:tcW w:w="1718" w:type="dxa"/>
            <w:tcBorders>
              <w:top w:val="single" w:sz="4" w:space="0" w:color="000080"/>
              <w:left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w:t>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AC – ADMINISTRAÇÃO CENTRAL</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2</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SG – SEGUROS + GARANTIA</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3</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 – RISCOS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4</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DF – DESPESAS FINANCEIRAS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5</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 – LUCRO BRUTO</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w:t>
            </w:r>
          </w:p>
        </w:tc>
        <w:tc>
          <w:tcPr>
            <w:tcW w:w="4264" w:type="dxa"/>
            <w:gridSpan w:val="4"/>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 – IMPOSTOS</w:t>
            </w:r>
          </w:p>
        </w:tc>
        <w:tc>
          <w:tcPr>
            <w:tcW w:w="2270"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0,00%</w:t>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6.1</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PIS</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6.2</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COFINS</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6.3</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ISS (</w:t>
            </w:r>
            <w:r>
              <w:rPr>
                <w:rFonts w:eastAsia="Arial" w:cs="Arial" w:ascii="Arial" w:hAnsi="Arial"/>
                <w:b w:val="false"/>
                <w:i w:val="false"/>
                <w:caps w:val="false"/>
                <w:smallCaps w:val="false"/>
                <w:strike w:val="false"/>
                <w:dstrike w:val="false"/>
                <w:color w:val="FF0000"/>
                <w:position w:val="0"/>
                <w:sz w:val="20"/>
                <w:sz w:val="20"/>
                <w:szCs w:val="20"/>
                <w:highlight w:val="white"/>
                <w:vertAlign w:val="baseline"/>
              </w:rPr>
              <w:t>CONFORME LEGISLAÇÃO MUNICIPAL</w:t>
            </w:r>
            <w:r>
              <w:rPr>
                <w:rFonts w:eastAsia="Arial" w:cs="Arial" w:ascii="Arial" w:hAnsi="Arial"/>
                <w:b w:val="false"/>
                <w:i w:val="false"/>
                <w:caps w:val="false"/>
                <w:smallCaps w:val="false"/>
                <w:strike w:val="false"/>
                <w:dstrike w:val="false"/>
                <w:position w:val="0"/>
                <w:sz w:val="20"/>
                <w:sz w:val="20"/>
                <w:szCs w:val="20"/>
                <w:highlight w:val="white"/>
                <w:vertAlign w:val="baseline"/>
              </w:rPr>
              <w:t>)</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6.4</w:t>
            </w:r>
          </w:p>
        </w:tc>
        <w:tc>
          <w:tcPr>
            <w:tcW w:w="6534" w:type="dxa"/>
            <w:gridSpan w:val="9"/>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CONTRIB. PREV. SOBRE REC. BRUTA – CPRB</w:t>
            </w:r>
          </w:p>
        </w:tc>
        <w:tc>
          <w:tcPr>
            <w:tcW w:w="1718" w:type="dxa"/>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07" w:type="dxa"/>
            <w:gridSpan w:val="5"/>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TOTAL DO BDI (R$)</w:t>
            </w:r>
          </w:p>
        </w:tc>
        <w:tc>
          <w:tcPr>
            <w:tcW w:w="2270" w:type="dxa"/>
            <w:gridSpan w:val="5"/>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5107" w:type="dxa"/>
            <w:gridSpan w:val="5"/>
            <w:tcBorders>
              <w:top w:val="single" w:sz="4" w:space="0" w:color="000080"/>
              <w:left w:val="single" w:sz="4" w:space="0" w:color="000080"/>
            </w:tcBorders>
            <w:shd w:fill="auto" w:val="clea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PREÇO DE VENDA (R$)</w:t>
            </w:r>
          </w:p>
        </w:tc>
        <w:tc>
          <w:tcPr>
            <w:tcW w:w="2270" w:type="dxa"/>
            <w:gridSpan w:val="5"/>
            <w:tcBorders>
              <w:top w:val="single" w:sz="4" w:space="0" w:color="000080"/>
              <w:left w:val="single" w:sz="4" w:space="0" w:color="000080"/>
            </w:tcBorders>
            <w:shd w:fill="auto" w:val="clea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1718" w:type="dxa"/>
            <w:tcBorders>
              <w:top w:val="single" w:sz="4" w:space="0" w:color="000080"/>
              <w:left w:val="single" w:sz="4" w:space="0" w:color="000080"/>
              <w:right w:val="single" w:sz="4" w:space="0" w:color="000080"/>
            </w:tcBorders>
            <w:shd w:fill="auto" w:val="clea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7377" w:type="dxa"/>
            <w:gridSpan w:val="10"/>
            <w:tcBorders>
              <w:top w:val="single" w:sz="4" w:space="0" w:color="000080"/>
              <w:left w:val="single" w:sz="4" w:space="0" w:color="000080"/>
              <w:bottom w:val="single" w:sz="4" w:space="0" w:color="000080"/>
            </w:tcBorders>
            <w:shd w:fill="auto" w:val="clear"/>
          </w:tcPr>
          <w:p>
            <w:pPr>
              <w:pStyle w:val="Normal1"/>
              <w:widowControl w:val="false"/>
              <w:shd w:val="clear" w:fill="FFFFFF"/>
              <w:spacing w:lineRule="auto" w:line="240" w:before="57" w:after="0"/>
              <w:ind w:hanging="0" w:left="5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BDI (%)</w:t>
            </w:r>
          </w:p>
        </w:tc>
        <w:tc>
          <w:tcPr>
            <w:tcW w:w="1718" w:type="dxa"/>
            <w:tcBorders>
              <w:top w:val="single" w:sz="4" w:space="0" w:color="000080"/>
              <w:left w:val="single" w:sz="4" w:space="0" w:color="000080"/>
              <w:bottom w:val="single" w:sz="4" w:space="0" w:color="000080"/>
              <w:right w:val="single" w:sz="4" w:space="0" w:color="000080"/>
            </w:tcBorders>
            <w:shd w:fill="auto" w:val="clear"/>
          </w:tcPr>
          <w:p>
            <w:pPr>
              <w:pStyle w:val="Normal1"/>
              <w:widowControl w:val="false"/>
              <w:shd w:val="clear" w:fill="FFFFFF"/>
              <w:spacing w:lineRule="auto" w:line="240" w:before="57" w:after="0"/>
              <w:ind w:hanging="0" w:left="57" w:right="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0,00%</w:t>
            </w:r>
          </w:p>
        </w:tc>
      </w:tr>
      <w:tr>
        <w:trPr>
          <w:cantSplit w:val="true"/>
        </w:trPr>
        <w:tc>
          <w:tcPr>
            <w:tcW w:w="9095" w:type="dxa"/>
            <w:gridSpan w:val="11"/>
            <w:tcBorders>
              <w:top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Equação</w:t>
            </w:r>
          </w:p>
        </w:tc>
      </w:tr>
      <w:tr>
        <w:trPr>
          <w:cantSplit w:val="true"/>
        </w:trPr>
        <w:tc>
          <w:tcPr>
            <w:tcW w:w="9095" w:type="dxa"/>
            <w:gridSpan w:val="11"/>
            <w:tcBorders>
              <w:top w:val="single" w:sz="4" w:space="0" w:color="000080"/>
              <w:bottom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0" w:hRule="atLeast"/>
          <w:cantSplit w:val="true"/>
        </w:trPr>
        <w:tc>
          <w:tcPr>
            <w:tcW w:w="2032" w:type="dxa"/>
            <w:gridSpan w:val="2"/>
            <w:vMerge w:val="restart"/>
            <w:tcBorders>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53" w:type="dxa"/>
            <w:vMerge w:val="restart"/>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BDI =</w:t>
            </w:r>
          </w:p>
        </w:tc>
        <w:tc>
          <w:tcPr>
            <w:tcW w:w="81"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36" w:type="dxa"/>
            <w:gridSpan w:val="2"/>
            <w:tcBorders>
              <w:top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(1+AC+S+R+G)*(1+DF)*(1+L)</w:t>
            </w:r>
          </w:p>
        </w:tc>
        <w:tc>
          <w:tcPr>
            <w:tcW w:w="285" w:type="dxa"/>
            <w:vMerge w:val="restart"/>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-1</w:t>
            </w:r>
          </w:p>
        </w:tc>
        <w:tc>
          <w:tcPr>
            <w:tcW w:w="80" w:type="dxa"/>
            <w:vMerge w:val="restart"/>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47" w:type="dxa"/>
            <w:vMerge w:val="restart"/>
            <w:tcBorders>
              <w:lef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X 100</w:t>
            </w:r>
          </w:p>
        </w:tc>
        <w:tc>
          <w:tcPr>
            <w:tcW w:w="2081" w:type="dxa"/>
            <w:gridSpan w:val="2"/>
            <w:vMerge w:val="restart"/>
            <w:tcBorders>
              <w:left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19" w:hRule="atLeast"/>
          <w:cantSplit w:val="true"/>
        </w:trPr>
        <w:tc>
          <w:tcPr>
            <w:tcW w:w="2032" w:type="dxa"/>
            <w:gridSpan w:val="2"/>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53"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81"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c>
          <w:tcPr>
            <w:tcW w:w="2836" w:type="dxa"/>
            <w:gridSpan w:val="2"/>
            <w:tcBorders>
              <w:top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(1-I)</w:t>
            </w:r>
          </w:p>
        </w:tc>
        <w:tc>
          <w:tcPr>
            <w:tcW w:w="285"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0" w:type="dxa"/>
            <w:vMerge w:val="continue"/>
            <w:tcBorders>
              <w:top w:val="single" w:sz="4" w:space="0" w:color="000080"/>
              <w:left w:val="single" w:sz="4" w:space="0" w:color="000080"/>
              <w:bottom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847" w:type="dxa"/>
            <w:vMerge w:val="continue"/>
            <w:tcBorders>
              <w:lef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081" w:type="dxa"/>
            <w:gridSpan w:val="2"/>
            <w:vMerge w:val="continue"/>
            <w:tcBorders>
              <w:left w:val="single" w:sz="4" w:space="0" w:color="000080"/>
              <w:right w:val="single" w:sz="4" w:space="0" w:color="000080"/>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r>
      <w:tr>
        <w:trPr>
          <w:cantSplit w:val="true"/>
        </w:trPr>
        <w:tc>
          <w:tcPr>
            <w:tcW w:w="9095" w:type="dxa"/>
            <w:gridSpan w:val="11"/>
            <w:tcBorders>
              <w:left w:val="single" w:sz="4" w:space="0" w:color="000080"/>
              <w:right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cantSplit w:val="true"/>
        </w:trPr>
        <w:tc>
          <w:tcPr>
            <w:tcW w:w="9095" w:type="dxa"/>
            <w:gridSpan w:val="11"/>
            <w:tcBorders>
              <w:top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6" w:hRule="atLeast"/>
          <w:cantSplit w:val="true"/>
        </w:trPr>
        <w:tc>
          <w:tcPr>
            <w:tcW w:w="843" w:type="dxa"/>
            <w:tcBorders>
              <w:top w:val="single" w:sz="4" w:space="0" w:color="000080"/>
              <w:lef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c>
        <w:tc>
          <w:tcPr>
            <w:tcW w:w="8252" w:type="dxa"/>
            <w:gridSpan w:val="10"/>
            <w:tcBorders>
              <w:top w:val="single" w:sz="4" w:space="0" w:color="000080"/>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AC:</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administração central;</w:t>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seguros;</w:t>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garantias;</w:t>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R:</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riscos;</w:t>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DF:</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despesas financeiras;</w:t>
            </w:r>
          </w:p>
        </w:tc>
      </w:tr>
      <w:tr>
        <w:trPr>
          <w:trHeight w:val="323" w:hRule="atLeast"/>
          <w:cantSplit w:val="true"/>
        </w:trPr>
        <w:tc>
          <w:tcPr>
            <w:tcW w:w="843" w:type="dxa"/>
            <w:tcBorders>
              <w:left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L:</w:t>
            </w:r>
          </w:p>
        </w:tc>
        <w:tc>
          <w:tcPr>
            <w:tcW w:w="8252" w:type="dxa"/>
            <w:gridSpan w:val="10"/>
            <w:tcBorders>
              <w:left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lucro/remuneração;</w:t>
            </w:r>
          </w:p>
        </w:tc>
      </w:tr>
      <w:tr>
        <w:trPr>
          <w:trHeight w:val="323" w:hRule="atLeast"/>
          <w:cantSplit w:val="true"/>
        </w:trPr>
        <w:tc>
          <w:tcPr>
            <w:tcW w:w="843" w:type="dxa"/>
            <w:tcBorders>
              <w:top w:val="single" w:sz="4" w:space="0" w:color="000080"/>
              <w:left w:val="single" w:sz="4" w:space="0" w:color="000080"/>
              <w:bottom w:val="single" w:sz="4" w:space="0" w:color="000080"/>
            </w:tcBorders>
            <w:shd w:fill="auto" w:val="clear"/>
            <w:vAlign w:val="center"/>
          </w:tcPr>
          <w:p>
            <w:pPr>
              <w:pStyle w:val="Normal1"/>
              <w:shd w:val="clear" w:fill="FFFFFF"/>
              <w:spacing w:lineRule="auto" w:line="240" w:before="57" w:after="0"/>
              <w:ind w:hanging="0" w:left="57" w:right="0"/>
              <w:jc w:val="right"/>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w:t>
            </w:r>
          </w:p>
        </w:tc>
        <w:tc>
          <w:tcPr>
            <w:tcW w:w="8252" w:type="dxa"/>
            <w:gridSpan w:val="10"/>
            <w:tcBorders>
              <w:top w:val="single" w:sz="4" w:space="0" w:color="000080"/>
              <w:left w:val="single" w:sz="4" w:space="0" w:color="000080"/>
              <w:bottom w:val="single" w:sz="4" w:space="0" w:color="000080"/>
              <w:right w:val="single" w:sz="4" w:space="0" w:color="000080"/>
            </w:tcBorders>
            <w:shd w:fill="auto" w:val="clear"/>
            <w:vAlign w:val="center"/>
          </w:tcPr>
          <w:p>
            <w:pPr>
              <w:pStyle w:val="Normal1"/>
              <w:shd w:val="clear" w:fill="FFFFFF"/>
              <w:spacing w:lineRule="auto" w:line="240" w:before="57" w:after="0"/>
              <w:ind w:hanging="0" w:left="57"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taxa de incidência de impostos (PIS, COFINS, ISS, CPRB).</w:t>
            </w:r>
          </w:p>
        </w:tc>
      </w:tr>
      <w:tr>
        <w:trPr>
          <w:cantSplit w:val="true"/>
        </w:trPr>
        <w:tc>
          <w:tcPr>
            <w:tcW w:w="9095" w:type="dxa"/>
            <w:gridSpan w:val="11"/>
            <w:tcBorders>
              <w:top w:val="single" w:sz="4" w:space="0" w:color="000080"/>
            </w:tcBorders>
            <w:shd w:fill="auto" w:val="clear"/>
            <w:vAlign w:val="center"/>
          </w:tcPr>
          <w:p>
            <w:pPr>
              <w:pStyle w:val="Normal1"/>
              <w:widowControl w:val="false"/>
              <w:shd w:val="clear" w:fill="FFFFFF"/>
              <w:spacing w:lineRule="auto" w:line="240" w:before="57" w:after="0"/>
              <w:ind w:hanging="0" w:left="57" w:right="0"/>
              <w:jc w:val="center"/>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tbl>
      <w:tblPr>
        <w:tblStyle w:val="Table75"/>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pageBreakBefore/>
              <w:shd w:val="clear" w:fill="FFFFFF"/>
              <w:spacing w:lineRule="auto" w:line="240" w:before="0"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w:t>
            </w:r>
          </w:p>
        </w:tc>
      </w:tr>
      <w:tr>
        <w:trPr>
          <w:cantSplit w:val="true"/>
        </w:trPr>
        <w:tc>
          <w:tcPr>
            <w:tcW w:w="9072" w:type="dxa"/>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DO BDI REFERENCIAL</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Arquivo anexado no site de licitações do sistema adotado para a licitação:</w:t>
            </w:r>
            <w:r>
              <w:rPr>
                <w:rFonts w:eastAsia="Arial" w:cs="Arial" w:ascii="Arial" w:hAnsi="Arial"/>
                <w:b w:val="false"/>
                <w:i w:val="false"/>
                <w:caps w:val="false"/>
                <w:smallCaps w:val="false"/>
                <w:strike w:val="false"/>
                <w:dstrike w:val="false"/>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(Entrar com a Pesquisa avançada)</w:t>
            </w:r>
          </w:p>
        </w:tc>
      </w:tr>
      <w:tr>
        <w:trPr>
          <w:cantSplit w:val="true"/>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Arquivo anexado no site do órgão/entidade licitante: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(Entrar na pasta “Pregão Eletrônico” e escolher esta licitação)</w:t>
            </w:r>
          </w:p>
        </w:tc>
      </w:tr>
    </w:tbl>
    <w:p>
      <w:pPr>
        <w:pStyle w:val="Normal1"/>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Style w:val="Table76"/>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XIII</w:t>
            </w:r>
          </w:p>
        </w:tc>
      </w:tr>
      <w:tr>
        <w:trPr>
          <w:cantSplit w:val="true"/>
        </w:trPr>
        <w:tc>
          <w:tcPr>
            <w:tcW w:w="9072" w:type="dxa"/>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PLANILHA(S) ORÇAMENTÁRIA(S) DE REFERÊNCIA</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(Entrar com a Pesquisa avançada)</w:t>
            </w:r>
          </w:p>
        </w:tc>
      </w:tr>
      <w:tr>
        <w:trPr>
          <w:cantSplit w:val="true"/>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Arquivo anexado no site do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órgão/entidade licitante: 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(Entrar na pasta “Pregão Eletrônico” e escolher esta licitação)</w:t>
            </w:r>
          </w:p>
        </w:tc>
      </w:tr>
    </w:tbl>
    <w:p>
      <w:pPr>
        <w:pStyle w:val="Normal1"/>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tbl>
      <w:tblPr>
        <w:tblStyle w:val="Table77"/>
        <w:tblW w:w="9072" w:type="dxa"/>
        <w:jc w:val="left"/>
        <w:tblInd w:w="-3" w:type="dxa"/>
        <w:tblLayout w:type="fixed"/>
        <w:tblCellMar>
          <w:top w:w="0" w:type="dxa"/>
          <w:left w:w="108" w:type="dxa"/>
          <w:bottom w:w="0" w:type="dxa"/>
          <w:right w:w="108" w:type="dxa"/>
        </w:tblCellMar>
        <w:tblLook w:val="0000"/>
      </w:tblPr>
      <w:tblGrid>
        <w:gridCol w:w="9072"/>
      </w:tblGrid>
      <w:tr>
        <w:trPr>
          <w:cantSplit w:val="true"/>
        </w:trPr>
        <w:tc>
          <w:tcPr>
            <w:tcW w:w="9072" w:type="dxa"/>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ANEXO XIV</w:t>
            </w:r>
          </w:p>
        </w:tc>
      </w:tr>
      <w:tr>
        <w:trPr>
          <w:cantSplit w:val="true"/>
        </w:trPr>
        <w:tc>
          <w:tcPr>
            <w:tcW w:w="9072" w:type="dxa"/>
            <w:tcBorders/>
            <w:shd w:fill="auto" w:val="clear"/>
            <w:vAlign w:val="cente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ELEMENTO(S) TÉCNICO(S) INSTRUTOR(ES)</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Arquivo anexado no site de licitações do </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sistema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80"/>
                <w:position w:val="0"/>
                <w:sz w:val="20"/>
                <w:sz w:val="20"/>
                <w:szCs w:val="20"/>
                <w:u w:val="none"/>
                <w:vertAlign w:val="baseline"/>
              </w:rPr>
              <w:t>(Entrar com a Pesquisa avançada)</w:t>
            </w:r>
          </w:p>
        </w:tc>
      </w:tr>
      <w:tr>
        <w:trPr>
          <w:cantSplit w:val="true"/>
        </w:trPr>
        <w:tc>
          <w:tcPr>
            <w:tcW w:w="9072" w:type="dxa"/>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OU</w:t>
            </w:r>
          </w:p>
        </w:tc>
      </w:tr>
      <w:tr>
        <w:trPr>
          <w:cantSplit w:val="true"/>
        </w:trPr>
        <w:tc>
          <w:tcPr>
            <w:tcW w:w="9072" w:type="dxa"/>
            <w:tcBorders/>
            <w:shd w:fill="auto" w:val="clear"/>
            <w:vAlign w:val="center"/>
          </w:tcPr>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color w:val="000080"/>
                <w:position w:val="0"/>
                <w:sz w:val="20"/>
                <w:sz w:val="20"/>
                <w:szCs w:val="20"/>
                <w:u w:val="none"/>
                <w:vertAlign w:val="baseline"/>
              </w:rPr>
              <w:t>Arquivo anexado no site de licitações do siste</w:t>
            </w:r>
            <w:r>
              <w:rPr>
                <w:rFonts w:eastAsia="Arial" w:cs="Arial" w:ascii="Arial" w:hAnsi="Arial"/>
                <w:b w:val="false"/>
                <w:i w:val="false"/>
                <w:caps w:val="false"/>
                <w:smallCaps w:val="false"/>
                <w:strike w:val="false"/>
                <w:dstrike w:val="false"/>
                <w:color w:val="000080"/>
                <w:position w:val="0"/>
                <w:sz w:val="20"/>
                <w:sz w:val="20"/>
                <w:szCs w:val="20"/>
                <w:highlight w:val="white"/>
                <w:u w:val="none"/>
                <w:vertAlign w:val="baseline"/>
              </w:rPr>
              <w:t xml:space="preserve">ma adotado para a licitação: </w:t>
            </w:r>
            <w:r>
              <w:rPr>
                <w:rFonts w:eastAsia="Arial" w:cs="Arial" w:ascii="Arial" w:hAnsi="Arial"/>
                <w:b w:val="false"/>
                <w:i w:val="false"/>
                <w:caps w:val="false"/>
                <w:smallCaps w:val="false"/>
                <w:strike w:val="false"/>
                <w:dstrike w:val="false"/>
                <w:color w:val="000080"/>
                <w:position w:val="0"/>
                <w:sz w:val="20"/>
                <w:sz w:val="20"/>
                <w:szCs w:val="20"/>
                <w:u w:val="none"/>
                <w:vertAlign w:val="baseline"/>
              </w:rPr>
              <w:t>inserir link de acesso</w:t>
            </w:r>
          </w:p>
          <w:p>
            <w:pPr>
              <w:pStyle w:val="Normal1"/>
              <w:widowControl w:val="false"/>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(Entrar na pasta “Pregão Eletrônico” e escolher esta licitação)</w:t>
            </w:r>
          </w:p>
        </w:tc>
      </w:tr>
    </w:tbl>
    <w:p>
      <w:pPr>
        <w:pStyle w:val="Normal1"/>
        <w:shd w:val="clear" w:fill="FFFFFF"/>
        <w:tabs>
          <w:tab w:val="clear" w:pos="720"/>
          <w:tab w:val="left" w:pos="993" w:leader="none"/>
          <w:tab w:val="center" w:pos="4252" w:leader="none"/>
          <w:tab w:val="right" w:pos="8504"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993" w:leader="none"/>
        </w:tabs>
        <w:spacing w:lineRule="auto" w:line="240" w:before="57" w:after="0"/>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p>
      <w:pPr>
        <w:pStyle w:val="Normal1"/>
        <w:shd w:val="clear" w:fill="FFFFFF"/>
        <w:tabs>
          <w:tab w:val="clear" w:pos="720"/>
          <w:tab w:val="left" w:pos="993" w:leader="none"/>
        </w:tabs>
        <w:spacing w:lineRule="auto" w:line="240" w:before="0" w:after="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ANEXO XV</w:t>
      </w:r>
    </w:p>
    <w:p>
      <w:pPr>
        <w:pStyle w:val="Normal1"/>
        <w:shd w:val="clear" w:fill="FFFFFF"/>
        <w:tabs>
          <w:tab w:val="clear" w:pos="720"/>
          <w:tab w:val="left" w:pos="284" w:leader="none"/>
        </w:tabs>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DOCUMENTOS DE HABILITAÇÃO</w:t>
      </w:r>
    </w:p>
    <w:p>
      <w:pPr>
        <w:pStyle w:val="Normal1"/>
        <w:shd w:val="clear" w:fill="FFFFFF"/>
        <w:spacing w:lineRule="auto" w:line="240" w:before="57" w:after="0"/>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pageBreakBefore w:val="false"/>
        <w:widowControl/>
        <w:shd w:val="clear" w:fill="FFFFFF"/>
        <w:tabs>
          <w:tab w:val="clear" w:pos="720"/>
          <w:tab w:val="left" w:pos="321"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O licitante convocado para apresentar os documentos de habilitação, deverá entregar, no prazo máximo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[xxxxxxxxxxx]</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dias úteis, a contar da notificação, os documentos de habilitação, os quais devem ser enviados por processo eletrônico de comunicação à distância conforme estabelecido no presente Edital:</w:t>
      </w:r>
    </w:p>
    <w:p>
      <w:pPr>
        <w:pStyle w:val="Normal1"/>
        <w:keepNext w:val="false"/>
        <w:keepLines w:val="false"/>
        <w:pageBreakBefore w:val="false"/>
        <w:widowControl/>
        <w:shd w:val="clear" w:fill="FFFFFF"/>
        <w:tabs>
          <w:tab w:val="clear" w:pos="720"/>
          <w:tab w:val="left" w:pos="321" w:leader="none"/>
        </w:tabs>
        <w:spacing w:lineRule="auto" w:line="240" w:before="0" w:after="57"/>
        <w:ind w:hanging="0" w:left="18"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tbl>
      <w:tblPr>
        <w:tblStyle w:val="Table78"/>
        <w:tblW w:w="9075" w:type="dxa"/>
        <w:jc w:val="left"/>
        <w:tblInd w:w="-55" w:type="dxa"/>
        <w:tblLayout w:type="fixed"/>
        <w:tblCellMar>
          <w:top w:w="0" w:type="dxa"/>
          <w:left w:w="108" w:type="dxa"/>
          <w:bottom w:w="0" w:type="dxa"/>
          <w:right w:w="108" w:type="dxa"/>
        </w:tblCellMar>
        <w:tblLook w:val="0000"/>
      </w:tblPr>
      <w:tblGrid>
        <w:gridCol w:w="9075"/>
      </w:tblGrid>
      <w:tr>
        <w:trPr>
          <w:trHeight w:val="1762" w:hRule="atLeast"/>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 Administração poderá realizar licitação restrita a fornecedores cadastrados, atendidos os critérios, as condições e os limites estabelecidos em regulamento, bem como a ampla publicidade dos procedimentos para o cadastramento, conforme o disposto no § 3.º do art. 87 da Lei Federal n.º 14.133, de 2021. Nesse caso o item 1.1 deverá conter a seguinte redação: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Todos os licitantes deverão estar registrados no sistema de registro cadastral unificado disponível no Portal Nacional de Contratações Públicas (PNCP), para efeito de cadastro unificado de licitantes.</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OU (para o caso de licitação não restrita a fornecedores cadastrados)</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single"/>
                <w:vertAlign w:val="baseline"/>
              </w:rPr>
              <w:t>1.1 CERTIFICADO DE REGULARIDADE DE REGISTRO CADASTRAL</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de fornecedor, que poderá ser feito e emitido pelo Portal Nacional de Contratações Públicas (PNCP), no portal https://pncp.gov.br/, e os documentos abaixo descritos, salvo os já estejam contemplados e válidos no referido certificado:</w:t>
            </w:r>
          </w:p>
          <w:p>
            <w:pPr>
              <w:pStyle w:val="Normal1"/>
              <w:keepNext w:val="false"/>
              <w:keepLines w:val="false"/>
              <w:widowControl/>
              <w:shd w:val="clear" w:fill="FFFF00"/>
              <w:spacing w:lineRule="auto" w:line="240" w:before="0" w:after="57"/>
              <w:ind w:hanging="0" w:left="36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tc>
      </w:tr>
    </w:tbl>
    <w:p>
      <w:pPr>
        <w:pStyle w:val="Normal1"/>
        <w:shd w:val="clear" w:fill="FFFFFF"/>
        <w:spacing w:lineRule="auto" w:line="240" w:before="0" w:after="57"/>
        <w:ind w:right="-1"/>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79"/>
        <w:tblW w:w="9075" w:type="dxa"/>
        <w:jc w:val="left"/>
        <w:tblInd w:w="-55" w:type="dxa"/>
        <w:tblLayout w:type="fixed"/>
        <w:tblCellMar>
          <w:top w:w="0" w:type="dxa"/>
          <w:left w:w="108" w:type="dxa"/>
          <w:bottom w:w="0" w:type="dxa"/>
          <w:right w:w="108" w:type="dxa"/>
        </w:tblCellMar>
        <w:tblLook w:val="0000"/>
      </w:tblPr>
      <w:tblGrid>
        <w:gridCol w:w="9075"/>
      </w:tblGrid>
      <w:tr>
        <w:trPr>
          <w:trHeight w:val="1762" w:hRule="atLeast"/>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44</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documentação de habilitação referida neste Capítulo do Título II da Lei Federal n.º 14.133, de 2021 poderá ser:</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a) substituída por registro cadastral emitido por órgão ou entidade pública, desde que previsto no edital e que o registro tenha sido feito em obediência ao disposto nesta Lei;</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b) dispensada, total ou parcialmente, nos termos do inciso III do art. 70 da Lei Federal n.º 14.133/2021.</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No caso do item b deverá ser anexada aos autos a motivação visando demonstrar a adequação para a dispensa total ou parcial de documentos de habilitação, considerando que tal opção poderá impactar na aferição da aptidão dos futuros licitantes.</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tc>
      </w:tr>
    </w:tbl>
    <w:p>
      <w:pPr>
        <w:pStyle w:val="Normal1"/>
        <w:shd w:val="clear" w:fill="FFFFFF"/>
        <w:spacing w:lineRule="auto" w:line="240" w:before="0" w:after="57"/>
        <w:jc w:val="both"/>
        <w:rPr>
          <w:rFonts w:ascii="Arial" w:hAnsi="Arial" w:eastAsia="Arial" w:cs="Arial"/>
          <w:position w:val="0"/>
          <w:sz w:val="20"/>
          <w:sz w:val="20"/>
          <w:szCs w:val="20"/>
          <w:highlight w:val="darkGreen"/>
          <w:vertAlign w:val="baseline"/>
        </w:rPr>
      </w:pPr>
      <w:r>
        <w:rPr>
          <w:rFonts w:eastAsia="Arial" w:cs="Arial" w:ascii="Arial" w:hAnsi="Arial"/>
          <w:position w:val="0"/>
          <w:sz w:val="20"/>
          <w:sz w:val="20"/>
          <w:szCs w:val="20"/>
          <w:highlight w:val="darkGreen"/>
          <w:vertAlign w:val="baseline"/>
        </w:rPr>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1.2 DOCUMENTOS DE HABILITAÇÃO JURÍDICA:</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Cédula de Identidade, no caso de pessoa física.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ato formal de designação de diretoria em exercício. </w:t>
      </w:r>
      <w:r>
        <w:rPr>
          <w:rFonts w:eastAsia="Arial" w:cs="Arial" w:ascii="Arial" w:hAnsi="Arial"/>
          <w:b w:val="false"/>
          <w:i w:val="false"/>
          <w:caps w:val="false"/>
          <w:smallCaps w:val="false"/>
          <w:strike w:val="false"/>
          <w:dstrike w:val="false"/>
          <w:color w:val="000000"/>
          <w:position w:val="0"/>
          <w:sz w:val="20"/>
          <w:sz w:val="20"/>
          <w:szCs w:val="20"/>
          <w:vertAlign w:val="baseline"/>
        </w:rPr>
        <w:t>Decreto de autorização, em se tratando de empresa ou sociedade estrangeira em funcionamento no País</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Procuração do representante do licitante no pregão, se for o caso.</w:t>
      </w:r>
    </w:p>
    <w:p>
      <w:pPr>
        <w:pStyle w:val="Normal1"/>
        <w:shd w:val="clear" w:fill="FFFFFF"/>
        <w:spacing w:lineRule="auto" w:line="240" w:before="0"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80"/>
        <w:tblW w:w="9019" w:type="dxa"/>
        <w:jc w:val="right"/>
        <w:tblInd w:w="0" w:type="dxa"/>
        <w:tblLayout w:type="fixed"/>
        <w:tblCellMar>
          <w:top w:w="0" w:type="dxa"/>
          <w:left w:w="108" w:type="dxa"/>
          <w:bottom w:w="0" w:type="dxa"/>
          <w:right w:w="108" w:type="dxa"/>
        </w:tblCellMar>
        <w:tblLook w:val="0000"/>
      </w:tblPr>
      <w:tblGrid>
        <w:gridCol w:w="9019"/>
      </w:tblGrid>
      <w:tr>
        <w:trPr>
          <w:trHeight w:val="1762" w:hRule="atLeast"/>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45</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0" w:after="57"/>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subitem 1.2.1 deverá ser inserido no caso de necessidade de comprovação da autorização para funcionamento.</w:t>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A Administração deverá verificar a necessidade de exigir a autorização de funcionamento e justificar a exigência de acordo com a legislação pertinente.</w:t>
            </w:r>
          </w:p>
          <w:p>
            <w:pPr>
              <w:pStyle w:val="Normal1"/>
              <w:keepNext w:val="false"/>
              <w:keepLines w:val="false"/>
              <w:widowControl/>
              <w:shd w:val="clear" w:fill="FFFF00"/>
              <w:spacing w:lineRule="auto" w:line="240" w:before="0" w:after="57"/>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 de registro ou autorização para funcionamento expedido pelo [XXXXXXXXXXXX] órgão competente nos termos da [XXXXX].</w:t>
            </w:r>
          </w:p>
        </w:tc>
      </w:tr>
    </w:tbl>
    <w:p>
      <w:pPr>
        <w:pStyle w:val="Normal1"/>
        <w:shd w:val="clear" w:fill="FFFFFF"/>
        <w:spacing w:lineRule="auto" w:line="240" w:before="0" w:after="57"/>
        <w:jc w:val="both"/>
        <w:rPr>
          <w:rFonts w:ascii="Arial" w:hAnsi="Arial" w:eastAsia="Arial" w:cs="Arial"/>
          <w:position w:val="0"/>
          <w:sz w:val="20"/>
          <w:sz w:val="20"/>
          <w:szCs w:val="20"/>
          <w:highlight w:val="darkGreen"/>
          <w:vertAlign w:val="baseline"/>
        </w:rPr>
      </w:pPr>
      <w:r>
        <w:rPr>
          <w:rFonts w:eastAsia="Arial" w:cs="Arial" w:ascii="Arial" w:hAnsi="Arial"/>
          <w:position w:val="0"/>
          <w:sz w:val="20"/>
          <w:sz w:val="20"/>
          <w:szCs w:val="20"/>
          <w:highlight w:val="darkGreen"/>
          <w:vertAlign w:val="baseline"/>
        </w:rPr>
      </w:r>
    </w:p>
    <w:p>
      <w:pPr>
        <w:pStyle w:val="Normal1"/>
        <w:shd w:val="clear" w:fill="FFFFFF"/>
        <w:spacing w:lineRule="auto" w:line="240" w:before="0" w:after="57"/>
        <w:jc w:val="both"/>
        <w:rPr/>
      </w:pP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 xml:space="preserve">1.3 DOCUMENTOS DE </w:t>
      </w:r>
      <w:r>
        <w:rPr>
          <w:rFonts w:eastAsia="Arial" w:cs="Arial" w:ascii="Arial" w:hAnsi="Arial"/>
          <w:b/>
          <w:i w:val="false"/>
          <w:caps w:val="false"/>
          <w:smallCaps w:val="false"/>
          <w:strike w:val="false"/>
          <w:dstrike w:val="false"/>
          <w:color w:val="000000"/>
          <w:position w:val="0"/>
          <w:sz w:val="20"/>
          <w:sz w:val="20"/>
          <w:szCs w:val="20"/>
          <w:u w:val="single"/>
          <w:vertAlign w:val="baseline"/>
        </w:rPr>
        <w:t>HABILITAÇÃO FISCAL, SOCIAL E TRABALHISTA</w:t>
      </w:r>
      <w:r>
        <w:rPr>
          <w:rFonts w:eastAsia="Arial" w:cs="Arial" w:ascii="Arial" w:hAnsi="Arial"/>
          <w:b/>
          <w:i w:val="false"/>
          <w:caps w:val="false"/>
          <w:smallCaps w:val="false"/>
          <w:strike w:val="false"/>
          <w:dstrike w:val="false"/>
          <w:color w:val="000000"/>
          <w:position w:val="0"/>
          <w:sz w:val="20"/>
          <w:sz w:val="20"/>
          <w:szCs w:val="20"/>
          <w:vertAlign w:val="baseline"/>
        </w:rPr>
        <w:t>:</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Prova de inscrição no Cadastro de Pessoas Físicas (CPF) ou no Cadastro Nacional de Pessoas Jurídicas (CNPJ); Prova de inscrição no cadastro de contribuintes estadual e/ou municipal, se houver, relativo ao domicílio ou sede do licitante, pertinente ao seu ramo de atividade e compatível com o objeto contratual; Certificado de regularidade do FGTS, emitido pela Caixa Econômica Federal; Certidões de regularidade com a Fazenda Federal (Certidão Conjunta de Débitos relativos a Tributos Federais e à Dívida Ativa da União e Certidão relativa a Contribuições Previdenciárias); Fazenda Estadual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inclusive do Estado do Paraná paro licitantes sediados em outro Estado da Federação</w:t>
      </w:r>
      <w:r>
        <w:rPr>
          <w:rFonts w:eastAsia="Arial" w:cs="Arial" w:ascii="Arial" w:hAnsi="Arial"/>
          <w:b w:val="false"/>
          <w:i w:val="false"/>
          <w:caps w:val="false"/>
          <w:smallCaps w:val="false"/>
          <w:strike w:val="false"/>
          <w:dstrike w:val="false"/>
          <w:color w:val="000000"/>
          <w:position w:val="0"/>
          <w:sz w:val="20"/>
          <w:sz w:val="20"/>
          <w:szCs w:val="20"/>
          <w:vertAlign w:val="baseline"/>
        </w:rPr>
        <w:t>); e Fazenda Municipal; e Certidão Negativa de Débitos Trabalhistas (CNDT), instituída pela Lei Federal n.º 12.440/2011; Declaração do cumprimento do disposto n</w:t>
      </w:r>
      <w:r>
        <w:rPr>
          <w:rFonts w:eastAsia="Arial" w:cs="Arial" w:ascii="Arial" w:hAnsi="Arial"/>
          <w:b w:val="false"/>
          <w:i w:val="false"/>
          <w:caps w:val="false"/>
          <w:smallCaps w:val="false"/>
          <w:strike w:val="false"/>
          <w:dstrike w:val="false"/>
          <w:position w:val="0"/>
          <w:sz w:val="20"/>
          <w:sz w:val="20"/>
          <w:szCs w:val="20"/>
          <w:vertAlign w:val="baseline"/>
        </w:rPr>
        <w:t xml:space="preserve">o </w:t>
      </w:r>
      <w:r>
        <w:fldChar w:fldCharType="begin"/>
      </w:r>
      <w:r>
        <w:rPr>
          <w:rStyle w:val="ListLabel111"/>
          <w:smallCaps w:val="false"/>
          <w:caps w:val="false"/>
          <w:dstrike w:val="false"/>
          <w:strike w:val="false"/>
          <w:vertAlign w:val="baseline"/>
          <w:position w:val="0"/>
          <w:sz w:val="20"/>
          <w:sz w:val="20"/>
          <w:i w:val="false"/>
          <w:u w:val="single"/>
          <w:b w:val="false"/>
          <w:szCs w:val="20"/>
          <w:rFonts w:eastAsia="Arial" w:cs="Arial" w:ascii="Arial" w:hAnsi="Arial"/>
          <w:color w:val="000080"/>
        </w:rPr>
        <w:instrText xml:space="preserve"> HYPERLINK "http://www.planalto.gov.br/ccivil_03/Constituicao/Constituicao.htm" \l "art7xxxiii"</w:instrText>
      </w:r>
      <w:r>
        <w:rPr>
          <w:rStyle w:val="ListLabel111"/>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separate"/>
      </w:r>
      <w:r>
        <w:rPr>
          <w:rStyle w:val="ListLabel111"/>
          <w:rFonts w:eastAsia="Arial" w:cs="Arial" w:ascii="Arial" w:hAnsi="Arial"/>
          <w:b w:val="false"/>
          <w:i w:val="false"/>
          <w:caps w:val="false"/>
          <w:smallCaps w:val="false"/>
          <w:strike w:val="false"/>
          <w:dstrike w:val="false"/>
          <w:color w:val="000080"/>
          <w:position w:val="0"/>
          <w:sz w:val="20"/>
          <w:sz w:val="20"/>
          <w:szCs w:val="20"/>
          <w:u w:val="single"/>
          <w:vertAlign w:val="baseline"/>
        </w:rPr>
        <w:t>inciso XXXIII do art. 7º da Constituição Federal.</w:t>
      </w:r>
      <w:r>
        <w:rPr>
          <w:rStyle w:val="ListLabel111"/>
          <w:smallCaps w:val="false"/>
          <w:caps w:val="false"/>
          <w:dstrike w:val="false"/>
          <w:strike w:val="false"/>
          <w:vertAlign w:val="baseline"/>
          <w:position w:val="0"/>
          <w:sz w:val="20"/>
          <w:sz w:val="20"/>
          <w:i w:val="false"/>
          <w:u w:val="single"/>
          <w:b w:val="false"/>
          <w:szCs w:val="20"/>
          <w:rFonts w:eastAsia="Arial" w:cs="Arial" w:ascii="Arial" w:hAnsi="Arial"/>
          <w:color w:val="000080"/>
        </w:rPr>
        <w:fldChar w:fldCharType="end"/>
      </w:r>
    </w:p>
    <w:p>
      <w:pPr>
        <w:pStyle w:val="Normal1"/>
        <w:keepNext w:val="false"/>
        <w:keepLines w:val="false"/>
        <w:pageBreakBefore w:val="false"/>
        <w:widowControl/>
        <w:shd w:val="clear" w:fill="FFFFFF"/>
        <w:spacing w:lineRule="auto" w:line="240" w:before="0" w:after="57"/>
        <w:ind w:hanging="0" w:left="360" w:right="0"/>
        <w:jc w:val="both"/>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single"/>
          <w:vertAlign w:val="baseline"/>
        </w:rPr>
        <w:t>1.4 DOCUMENTOS DE HABILITAÇÃO ECONÔMICO-FINANCEIRA:</w:t>
      </w:r>
    </w:p>
    <w:p>
      <w:pPr>
        <w:pStyle w:val="Normal1"/>
        <w:widowControl w:val="false"/>
        <w:shd w:val="clear" w:fill="FFFFFF"/>
        <w:tabs>
          <w:tab w:val="clear" w:pos="720"/>
          <w:tab w:val="left" w:pos="426"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 qualificação Econômico-financeira a Licitante arrematante deverá entregar:</w:t>
      </w:r>
    </w:p>
    <w:p>
      <w:pPr>
        <w:pStyle w:val="Normal1"/>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1.4.1</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Certidão Negativa de Falência, expedida pelo distribuidor Judicial da sede do Licitante, com antecedência máxima de até 60 (sessenta) dias corridos, contados da data prevista para a abertura da licitação.</w:t>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1</w:t>
      </w:r>
      <w:r>
        <w:rPr>
          <w:rFonts w:eastAsia="Arial" w:cs="Arial" w:ascii="Arial" w:hAnsi="Arial"/>
          <w:b/>
          <w:i w:val="false"/>
          <w:caps w:val="false"/>
          <w:smallCaps w:val="false"/>
          <w:strike w:val="false"/>
          <w:dstrike w:val="false"/>
          <w:color w:val="000000"/>
          <w:position w:val="0"/>
          <w:sz w:val="20"/>
          <w:sz w:val="20"/>
          <w:szCs w:val="20"/>
          <w:vertAlign w:val="baseline"/>
        </w:rPr>
        <w:t>.4.2</w:t>
      </w:r>
      <w:bookmarkStart w:id="23" w:name="bookmark=id.1ci93xb"/>
      <w:bookmarkEnd w:id="23"/>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balanço patrimonial,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1"/>
        <w:widowControl w:val="false"/>
        <w:numPr>
          <w:ilvl w:val="0"/>
          <w:numId w:val="10"/>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Serão considerados aceitos como na forma da lei, o balanço patrimonial e demonstrações contábeis assim apresentados:</w:t>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Publicados em Diário Oficial ou</w:t>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Publicados em Jornal ou</w:t>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Por cópia ou fotocópia registrada ou autenticada na Junta Comercial da Sede ou domicílio do licitante ou em outro órgão equivalente, inclusive com os Termos de Abertura e Encerramento.</w:t>
      </w:r>
    </w:p>
    <w:p>
      <w:pPr>
        <w:pStyle w:val="Normal1"/>
        <w:numPr>
          <w:ilvl w:val="1"/>
          <w:numId w:val="10"/>
        </w:numPr>
        <w:shd w:val="clear" w:fill="FFFFFF"/>
        <w:tabs>
          <w:tab w:val="clear" w:pos="720"/>
          <w:tab w:val="left" w:pos="1422"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Quando a data da abertura do certame for superior ao dia 30 de abril do presente ano, somente será aceito o balando do ano anterior.</w:t>
      </w:r>
    </w:p>
    <w:p>
      <w:pPr>
        <w:pStyle w:val="Normal1"/>
        <w:widowControl w:val="false"/>
        <w:numPr>
          <w:ilvl w:val="0"/>
          <w:numId w:val="10"/>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 Balanço Patrimonial da Sociedade Anônima ou por Ações deverá ser o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registradas na Junta Comercial ou Cartório de Títulos e Documentos.</w:t>
      </w:r>
    </w:p>
    <w:p>
      <w:pPr>
        <w:pStyle w:val="Normal1"/>
        <w:widowControl w:val="false"/>
        <w:numPr>
          <w:ilvl w:val="0"/>
          <w:numId w:val="10"/>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Em caso de empresa que ainda não possua balanço patrimonial e demonstrações contábeis já exigíveis, por ser recém-constituída, apresentação de cópia do Balanço de Abertura, devidamente registrado na Junta Comercial ou cópia do Livro Diário contendo o Balanço de Abertura, inclusive com os termos de Abertura e de Encerramento, devidamente registrados na Junta Comercial da sede ou domicílio do Licitante.</w:t>
      </w:r>
    </w:p>
    <w:p>
      <w:pPr>
        <w:pStyle w:val="Normal1"/>
        <w:shd w:val="clear" w:fill="FFFFFF"/>
        <w:spacing w:lineRule="auto" w:line="240" w:before="0"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os documentos exigidos no item 1.4.2 serão limitados ao último exercício no caso de a pessoa jurídica ter sido constituída há menos de 2 (dois) anos.</w:t>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1.4.2.1.1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as empresas criadas no exercício financeiro da licitação deverão atender a todas as exigências da habilitação e ficarão autorizadas a substituir os demonstrativos contábeis pelo balanço de abertura.</w:t>
      </w:r>
    </w:p>
    <w:p>
      <w:pPr>
        <w:pStyle w:val="Normal1"/>
        <w:shd w:val="clear" w:fill="FFFFFF"/>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1.4.3 </w:t>
      </w:r>
      <w:r>
        <w:rPr>
          <w:rFonts w:eastAsia="Arial" w:cs="Arial" w:ascii="Arial" w:hAnsi="Arial"/>
          <w:b w:val="false"/>
          <w:i w:val="false"/>
          <w:caps w:val="false"/>
          <w:smallCaps w:val="false"/>
          <w:strike w:val="false"/>
          <w:dstrike w:val="false"/>
          <w:color w:val="000000"/>
          <w:position w:val="0"/>
          <w:sz w:val="20"/>
          <w:sz w:val="20"/>
          <w:szCs w:val="20"/>
          <w:vertAlign w:val="baseline"/>
        </w:rPr>
        <w:t>a comprovação da situação financeira da empresa será</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avaliada pelos Índices de Liquidez Corrente (ILC), Liquidez Geral (ILG) e Grau de Endividamento (GE), bem como pela Disponibilidade Financeira Operacional, resultantes da aplicação das seguintes fórmulas:</w:t>
      </w:r>
    </w:p>
    <w:p>
      <w:pPr>
        <w:pStyle w:val="Normal1"/>
        <w:widowControl w:val="false"/>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Índice de Liquidez Corrente (ILC):</w:t>
      </w:r>
    </w:p>
    <w:p>
      <w:pPr>
        <w:pStyle w:val="Normal1"/>
        <w:widowControl w:val="false"/>
        <w:shd w:val="clear" w:fill="FFFFFF"/>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1"/>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ILC =</w:t>
            </w:r>
          </w:p>
        </w:tc>
        <w:tc>
          <w:tcPr>
            <w:tcW w:w="2124" w:type="dxa"/>
            <w:tcBorders>
              <w:bottom w:val="single" w:sz="4" w:space="0" w:color="000080"/>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124" w:type="dxa"/>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w:t>
            </w:r>
          </w:p>
        </w:tc>
      </w:tr>
      <w:tr>
        <w:trPr>
          <w:cantSplit w:val="true"/>
        </w:trPr>
        <w:tc>
          <w:tcPr>
            <w:tcW w:w="2973" w:type="dxa"/>
            <w:gridSpan w:val="2"/>
            <w:tcBorders/>
            <w:shd w:fill="auto" w:val="clear"/>
            <w:vAlign w:val="cente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Índice de Liquidez Geral (ILG):</w:t>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2"/>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ILG =</w:t>
            </w:r>
          </w:p>
        </w:tc>
        <w:tc>
          <w:tcPr>
            <w:tcW w:w="4394" w:type="dxa"/>
            <w:tcBorders>
              <w:bottom w:val="single" w:sz="4" w:space="0" w:color="000080"/>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Circulante + Realizável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94" w:type="dxa"/>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à Longo Prazo</w:t>
            </w:r>
          </w:p>
        </w:tc>
      </w:tr>
      <w:tr>
        <w:trPr>
          <w:cantSplit w:val="true"/>
        </w:trPr>
        <w:tc>
          <w:tcPr>
            <w:tcW w:w="5242" w:type="dxa"/>
            <w:gridSpan w:val="2"/>
            <w:tcBorders/>
            <w:shd w:fill="auto" w:val="clear"/>
            <w:vAlign w:val="cente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993" w:leader="none"/>
        </w:tabs>
        <w:spacing w:lineRule="auto" w:line="240" w:before="57" w:after="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Grau de Endividamento (GE):</w:t>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3"/>
        <w:tblW w:w="5243" w:type="dxa"/>
        <w:jc w:val="left"/>
        <w:tblInd w:w="-70" w:type="dxa"/>
        <w:tblLayout w:type="fixed"/>
        <w:tblCellMar>
          <w:top w:w="0" w:type="dxa"/>
          <w:left w:w="108" w:type="dxa"/>
          <w:bottom w:w="0" w:type="dxa"/>
          <w:right w:w="108" w:type="dxa"/>
        </w:tblCellMar>
        <w:tblLook w:val="0000"/>
      </w:tblPr>
      <w:tblGrid>
        <w:gridCol w:w="848"/>
        <w:gridCol w:w="4394"/>
      </w:tblGrid>
      <w:tr>
        <w:trPr>
          <w:cantSplit w:val="true"/>
        </w:trPr>
        <w:tc>
          <w:tcPr>
            <w:tcW w:w="848" w:type="dxa"/>
            <w:vMerge w:val="restart"/>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GE =</w:t>
            </w:r>
          </w:p>
        </w:tc>
        <w:tc>
          <w:tcPr>
            <w:tcW w:w="4394" w:type="dxa"/>
            <w:tcBorders>
              <w:bottom w:val="single" w:sz="4" w:space="0" w:color="000080"/>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Passivo Circulante + Exigível a Longo Prazo</w:t>
            </w:r>
          </w:p>
        </w:tc>
      </w:tr>
      <w:tr>
        <w:trPr>
          <w:cantSplit w:val="true"/>
        </w:trPr>
        <w:tc>
          <w:tcPr>
            <w:tcW w:w="848"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394" w:type="dxa"/>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Ativo Total</w:t>
            </w:r>
          </w:p>
        </w:tc>
      </w:tr>
      <w:tr>
        <w:trPr>
          <w:cantSplit w:val="true"/>
        </w:trPr>
        <w:tc>
          <w:tcPr>
            <w:tcW w:w="5242" w:type="dxa"/>
            <w:gridSpan w:val="2"/>
            <w:tcBorders/>
            <w:shd w:fill="auto" w:val="clear"/>
            <w:vAlign w:val="cente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Valor Patrimonial (VP):</w:t>
      </w:r>
    </w:p>
    <w:tbl>
      <w:tblPr>
        <w:tblStyle w:val="Table84"/>
        <w:tblW w:w="2974" w:type="dxa"/>
        <w:jc w:val="left"/>
        <w:tblInd w:w="-70" w:type="dxa"/>
        <w:tblLayout w:type="fixed"/>
        <w:tblCellMar>
          <w:top w:w="0" w:type="dxa"/>
          <w:left w:w="108" w:type="dxa"/>
          <w:bottom w:w="0" w:type="dxa"/>
          <w:right w:w="108" w:type="dxa"/>
        </w:tblCellMar>
        <w:tblLook w:val="0000"/>
      </w:tblPr>
      <w:tblGrid>
        <w:gridCol w:w="849"/>
        <w:gridCol w:w="2124"/>
      </w:tblGrid>
      <w:tr>
        <w:trPr>
          <w:cantSplit w:val="true"/>
        </w:trPr>
        <w:tc>
          <w:tcPr>
            <w:tcW w:w="849" w:type="dxa"/>
            <w:vMerge w:val="restart"/>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VP =</w:t>
            </w:r>
          </w:p>
        </w:tc>
        <w:tc>
          <w:tcPr>
            <w:tcW w:w="2124" w:type="dxa"/>
            <w:tcBorders>
              <w:bottom w:val="single" w:sz="4" w:space="0" w:color="000080"/>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r>
      <w:tr>
        <w:trPr>
          <w:cantSplit w:val="true"/>
        </w:trPr>
        <w:tc>
          <w:tcPr>
            <w:tcW w:w="849" w:type="dxa"/>
            <w:vMerge w:val="continue"/>
            <w:tcBorders/>
            <w:shd w:fill="auto" w:val="clear"/>
            <w:vAlign w:val="cente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2124" w:type="dxa"/>
            <w:tcBorders/>
            <w:shd w:fill="auto" w:val="clear"/>
          </w:tcPr>
          <w:p>
            <w:pPr>
              <w:pStyle w:val="Normal1"/>
              <w:shd w:val="clear" w:fill="FFFFFF"/>
              <w:spacing w:lineRule="auto" w:line="240" w:before="57" w:after="0"/>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Capital Social</w:t>
            </w:r>
          </w:p>
        </w:tc>
      </w:tr>
      <w:tr>
        <w:trPr>
          <w:cantSplit w:val="true"/>
        </w:trPr>
        <w:tc>
          <w:tcPr>
            <w:tcW w:w="2973" w:type="dxa"/>
            <w:gridSpan w:val="2"/>
            <w:tcBorders/>
            <w:shd w:fill="auto" w:val="clear"/>
            <w:vAlign w:val="cente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Cálculo dos Coeficientes K5, K6, K7 e Kf:</w:t>
      </w:r>
    </w:p>
    <w:p>
      <w:pPr>
        <w:pStyle w:val="Normal1"/>
        <w:widowControl w:val="false"/>
        <w:shd w:val="clear" w:fill="FFFFFF"/>
        <w:tabs>
          <w:tab w:val="clear" w:pos="720"/>
          <w:tab w:val="left" w:pos="1410" w:leader="none"/>
        </w:tabs>
        <w:spacing w:lineRule="auto" w:line="240" w:before="57" w:after="0"/>
        <w:ind w:hanging="0" w:left="41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bl>
      <w:tblPr>
        <w:tblStyle w:val="Table85"/>
        <w:tblW w:w="9138" w:type="dxa"/>
        <w:jc w:val="left"/>
        <w:tblInd w:w="0" w:type="dxa"/>
        <w:tblLayout w:type="fixed"/>
        <w:tblCellMar>
          <w:top w:w="0" w:type="dxa"/>
          <w:left w:w="108" w:type="dxa"/>
          <w:bottom w:w="0" w:type="dxa"/>
          <w:right w:w="108" w:type="dxa"/>
        </w:tblCellMar>
        <w:tblLook w:val="0000"/>
      </w:tblPr>
      <w:tblGrid>
        <w:gridCol w:w="410"/>
        <w:gridCol w:w="416"/>
        <w:gridCol w:w="414"/>
        <w:gridCol w:w="416"/>
        <w:gridCol w:w="417"/>
        <w:gridCol w:w="436"/>
        <w:gridCol w:w="397"/>
        <w:gridCol w:w="23"/>
        <w:gridCol w:w="105"/>
        <w:gridCol w:w="23"/>
        <w:gridCol w:w="395"/>
        <w:gridCol w:w="417"/>
        <w:gridCol w:w="159"/>
        <w:gridCol w:w="256"/>
        <w:gridCol w:w="422"/>
        <w:gridCol w:w="414"/>
        <w:gridCol w:w="414"/>
        <w:gridCol w:w="53"/>
        <w:gridCol w:w="369"/>
        <w:gridCol w:w="44"/>
        <w:gridCol w:w="84"/>
        <w:gridCol w:w="43"/>
        <w:gridCol w:w="376"/>
        <w:gridCol w:w="416"/>
        <w:gridCol w:w="233"/>
        <w:gridCol w:w="184"/>
        <w:gridCol w:w="417"/>
        <w:gridCol w:w="415"/>
        <w:gridCol w:w="418"/>
        <w:gridCol w:w="67"/>
        <w:gridCol w:w="432"/>
        <w:gridCol w:w="51"/>
      </w:tblGrid>
      <w:tr>
        <w:trPr>
          <w:cantSplit w:val="true"/>
        </w:trPr>
        <w:tc>
          <w:tcPr>
            <w:tcW w:w="9085" w:type="dxa"/>
            <w:gridSpan w:val="31"/>
            <w:tcBorders/>
            <w:shd w:fill="auto" w:val="clear"/>
            <w:vAlign w:val="center"/>
          </w:tcPr>
          <w:p>
            <w:pPr>
              <w:pStyle w:val="Normal1"/>
              <w:widowControl w:val="false"/>
              <w:shd w:val="clear" w:fill="FFFFFF"/>
              <w:spacing w:lineRule="auto" w:line="240" w:before="57"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c>
          <w:tcPr>
            <w:tcW w:w="51" w:type="dxa"/>
            <w:tcBorders/>
            <w:shd w:fill="auto" w:val="clear"/>
          </w:tcPr>
          <w:p>
            <w:pPr>
              <w:pStyle w:val="Normal1"/>
              <w:shd w:val="clear" w:fill="FFFFFF"/>
              <w:spacing w:lineRule="auto" w:line="240" w:before="57"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CAPACIDADE</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ÍNDICES</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w:t>
            </w:r>
          </w:p>
        </w:tc>
        <w:tc>
          <w:tcPr>
            <w:tcW w:w="1565"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PESO</w:t>
            </w:r>
          </w:p>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w:t>
            </w:r>
          </w:p>
        </w:tc>
        <w:tc>
          <w:tcPr>
            <w:tcW w:w="1984"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(1) X (2)</w:t>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CORRENTE – ILC</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5"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984"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28" w:type="dxa"/>
            <w:gridSpan w:val="13"/>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ÍNDICE DE LIQUIDEZ GERAL – ILG</w:t>
            </w:r>
          </w:p>
        </w:tc>
        <w:tc>
          <w:tcPr>
            <w:tcW w:w="1559" w:type="dxa"/>
            <w:gridSpan w:val="5"/>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5" w:type="dxa"/>
            <w:gridSpan w:val="7"/>
            <w:tcBorders>
              <w:top w:val="single" w:sz="4" w:space="0" w:color="000080"/>
              <w:left w:val="single" w:sz="4" w:space="0" w:color="000080"/>
              <w:bottom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1984" w:type="dxa"/>
            <w:gridSpan w:val="7"/>
            <w:tcBorders>
              <w:top w:val="single" w:sz="4" w:space="0" w:color="000080"/>
              <w:left w:val="single" w:sz="4" w:space="0" w:color="000080"/>
              <w:bottom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4028" w:type="dxa"/>
            <w:gridSpan w:val="13"/>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PATRIMONIAL – VP</w:t>
            </w:r>
          </w:p>
        </w:tc>
        <w:tc>
          <w:tcPr>
            <w:tcW w:w="1559" w:type="dxa"/>
            <w:gridSpan w:val="5"/>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565" w:type="dxa"/>
            <w:gridSpan w:val="7"/>
            <w:tcBorders>
              <w:top w:val="single" w:sz="4" w:space="0" w:color="000080"/>
              <w:lef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984" w:type="dxa"/>
            <w:gridSpan w:val="7"/>
            <w:tcBorders>
              <w:top w:val="single" w:sz="4" w:space="0" w:color="000080"/>
              <w:left w:val="single" w:sz="4"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85" w:type="dxa"/>
            <w:gridSpan w:val="31"/>
            <w:tcBorders>
              <w:top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51" w:type="dxa"/>
            <w:tcBorders/>
            <w:shd w:fill="auto" w:val="clear"/>
          </w:tcPr>
          <w:p>
            <w:pPr>
              <w:pStyle w:val="Normal1"/>
              <w:shd w:val="clear" w:fill="FFFFFF"/>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trHeight w:val="300" w:hRule="atLeast"/>
          <w:cantSplit w:val="true"/>
        </w:trPr>
        <w:tc>
          <w:tcPr>
            <w:tcW w:w="2929" w:type="dxa"/>
            <w:gridSpan w:val="8"/>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K5</w:t>
            </w:r>
          </w:p>
        </w:tc>
        <w:tc>
          <w:tcPr>
            <w:tcW w:w="128"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943" w:type="dxa"/>
            <w:gridSpan w:val="10"/>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K6</w:t>
            </w:r>
          </w:p>
        </w:tc>
        <w:tc>
          <w:tcPr>
            <w:tcW w:w="127"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3009" w:type="dxa"/>
            <w:gridSpan w:val="10"/>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TABELA PARA SE OBTER K7</w:t>
            </w:r>
          </w:p>
        </w:tc>
      </w:tr>
      <w:tr>
        <w:trPr>
          <w:trHeight w:val="300" w:hRule="atLeast"/>
          <w:cantSplit w:val="true"/>
        </w:trPr>
        <w:tc>
          <w:tcPr>
            <w:tcW w:w="2509"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ILC</w:t>
            </w:r>
          </w:p>
        </w:tc>
        <w:tc>
          <w:tcPr>
            <w:tcW w:w="420"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K5</w:t>
            </w:r>
          </w:p>
        </w:tc>
        <w:tc>
          <w:tcPr>
            <w:tcW w:w="128"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0"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ILG</w:t>
            </w:r>
          </w:p>
        </w:tc>
        <w:tc>
          <w:tcPr>
            <w:tcW w:w="413"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K6</w:t>
            </w:r>
          </w:p>
        </w:tc>
        <w:tc>
          <w:tcPr>
            <w:tcW w:w="127"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6"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INTERVALO DE PONTOS DE VP</w:t>
            </w:r>
          </w:p>
        </w:tc>
        <w:tc>
          <w:tcPr>
            <w:tcW w:w="483" w:type="dxa"/>
            <w:gridSpan w:val="2"/>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K7</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1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c>
          <w:tcPr>
            <w:tcW w:w="128" w:type="dxa"/>
            <w:gridSpan w:val="2"/>
            <w:vMerge w:val="restart"/>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128" w:type="dxa"/>
            <w:gridSpan w:val="2"/>
            <w:vMerge w:val="restart"/>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9"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0,8</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50</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2,5</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9"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20</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4"/>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1,0</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36</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5"/>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1,8</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60</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6"/>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3,0</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9"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7"/>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1,2</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39</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8"/>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2,1</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65</w:t>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29"/>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2"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3,5</w:t>
            </w:r>
          </w:p>
        </w:tc>
        <w:tc>
          <w:tcPr>
            <w:tcW w:w="128" w:type="dxa"/>
            <w:gridSpan w:val="2"/>
            <w:vMerge w:val="continue"/>
            <w:tcBorders>
              <w:left w:val="single" w:sz="8" w:space="0" w:color="000080"/>
            </w:tcBorders>
            <w:shd w:fill="auto" w:val="clear"/>
          </w:tcPr>
          <w:p>
            <w:pPr>
              <w:pStyle w:val="Normal1"/>
              <w:keepNext w:val="false"/>
              <w:keepLines w:val="false"/>
              <w:widowControl w:val="false"/>
              <w:shd w:val="clear" w:fill="auto"/>
              <w:spacing w:lineRule="auto" w:line="276" w:before="0" w:after="0"/>
              <w:ind w:hanging="0" w:left="0" w:right="0"/>
              <w:jc w:val="left"/>
              <w:rPr>
                <w:rFonts w:ascii="Arial" w:hAnsi="Arial"/>
                <w:position w:val="0"/>
                <w:sz w:val="20"/>
                <w:sz w:val="20"/>
                <w:szCs w:val="20"/>
                <w:vertAlign w:val="baseline"/>
              </w:rPr>
            </w:pPr>
            <w:r>
              <w:rPr>
                <w:rFonts w:ascii="Arial" w:hAnsi="Arial"/>
                <w:position w:val="0"/>
                <w:sz w:val="20"/>
                <w:sz w:val="20"/>
                <w:szCs w:val="20"/>
                <w:vertAlign w:val="baseline"/>
              </w:rPr>
            </w:r>
          </w:p>
        </w:tc>
        <w:tc>
          <w:tcPr>
            <w:tcW w:w="419"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26</w:t>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30"/>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&lt;</w:t>
            </w:r>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0" w:type="dxa"/>
            <w:gridSpan w:val="3"/>
            <w:tcBorders>
              <w:top w:val="single" w:sz="8" w:space="0" w:color="000080"/>
              <w:left w:val="single" w:sz="8" w:space="0" w:color="000080"/>
              <w:bottom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1,4</w:t>
            </w:r>
          </w:p>
        </w:tc>
      </w:tr>
      <w:tr>
        <w:trPr>
          <w:trHeight w:val="300" w:hRule="atLeast"/>
          <w:cantSplit w:val="true"/>
        </w:trPr>
        <w:tc>
          <w:tcPr>
            <w:tcW w:w="410"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ILC</w:t>
            </w:r>
          </w:p>
        </w:tc>
        <w:tc>
          <w:tcPr>
            <w:tcW w:w="41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31"/>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51</w:t>
            </w:r>
          </w:p>
        </w:tc>
        <w:tc>
          <w:tcPr>
            <w:tcW w:w="436"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397" w:type="dxa"/>
            <w:tcBorders>
              <w:top w:val="single" w:sz="8" w:space="0" w:color="000080"/>
              <w:left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2,4</w:t>
            </w:r>
          </w:p>
        </w:tc>
        <w:tc>
          <w:tcPr>
            <w:tcW w:w="128"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8"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5" w:type="dxa"/>
            <w:gridSpan w:val="2"/>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ILG</w:t>
            </w:r>
          </w:p>
        </w:tc>
        <w:tc>
          <w:tcPr>
            <w:tcW w:w="422"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32"/>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85</w:t>
            </w:r>
          </w:p>
        </w:tc>
        <w:tc>
          <w:tcPr>
            <w:tcW w:w="414" w:type="dxa"/>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422" w:type="dxa"/>
            <w:gridSpan w:val="2"/>
            <w:tcBorders>
              <w:top w:val="single" w:sz="8" w:space="0" w:color="000080"/>
              <w:left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4,0</w:t>
            </w:r>
          </w:p>
        </w:tc>
        <w:tc>
          <w:tcPr>
            <w:tcW w:w="128" w:type="dxa"/>
            <w:gridSpan w:val="2"/>
            <w:tcBorders>
              <w:left w:val="single" w:sz="8"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9"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6"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417" w:type="dxa"/>
            <w:gridSpan w:val="2"/>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VP</w:t>
            </w:r>
          </w:p>
        </w:tc>
        <w:tc>
          <w:tcPr>
            <w:tcW w:w="417"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sdt>
              <w:sdtPr>
                <w:tag w:val="goog_rdk_33"/>
              </w:sdtPr>
              <w:sdtContent>
                <w:r>
                  <w:rPr>
                    <w:rFonts w:eastAsia="Arial Unicode MS" w:cs="Arial Unicode MS" w:ascii="Arial" w:hAnsi="Arial"/>
                    <w:b/>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i w:val="false"/>
                    <w:caps w:val="false"/>
                    <w:smallCaps w:val="false"/>
                    <w:strike w:val="false"/>
                    <w:dstrike w:val="false"/>
                    <w:position w:val="0"/>
                    <w:sz w:val="20"/>
                    <w:sz w:val="20"/>
                    <w:szCs w:val="20"/>
                    <w:highlight w:val="white"/>
                    <w:vertAlign w:val="baseline"/>
                  </w:rPr>
                  <w:t>≥</w:t>
                </w:r>
              </w:sdtContent>
            </w:sdt>
          </w:p>
        </w:tc>
        <w:tc>
          <w:tcPr>
            <w:tcW w:w="415"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34</w:t>
            </w:r>
          </w:p>
        </w:tc>
        <w:tc>
          <w:tcPr>
            <w:tcW w:w="418" w:type="dxa"/>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w:t>
            </w:r>
          </w:p>
        </w:tc>
        <w:tc>
          <w:tcPr>
            <w:tcW w:w="550" w:type="dxa"/>
            <w:gridSpan w:val="3"/>
            <w:tcBorders>
              <w:top w:val="single" w:sz="8" w:space="0" w:color="000080"/>
              <w:left w:val="single" w:sz="8" w:space="0" w:color="000080"/>
              <w:right w:val="single" w:sz="4" w:space="0" w:color="000080"/>
            </w:tcBorders>
            <w:shd w:fill="auto" w:val="clear"/>
            <w:vAlign w:val="center"/>
          </w:tcPr>
          <w:p>
            <w:pPr>
              <w:pStyle w:val="Normal1"/>
              <w:widowControl w:val="false"/>
              <w:shd w:val="clear" w:fill="FFFFFF"/>
              <w:spacing w:lineRule="auto" w:line="240" w:before="57" w:after="0"/>
              <w:jc w:val="center"/>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1,6</w:t>
            </w:r>
          </w:p>
        </w:tc>
      </w:tr>
      <w:tr>
        <w:trPr>
          <w:trHeight w:val="300" w:hRule="atLeast"/>
          <w:cantSplit w:val="true"/>
        </w:trPr>
        <w:tc>
          <w:tcPr>
            <w:tcW w:w="2509" w:type="dxa"/>
            <w:gridSpan w:val="6"/>
            <w:tcBorders>
              <w:top w:val="single" w:sz="8" w:space="0" w:color="000080"/>
              <w:left w:val="single" w:sz="4"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K5 =</w:t>
            </w:r>
          </w:p>
        </w:tc>
        <w:tc>
          <w:tcPr>
            <w:tcW w:w="420"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8" w:type="dxa"/>
            <w:gridSpan w:val="2"/>
            <w:tcBorders>
              <w:left w:val="single" w:sz="12"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30"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K6 =</w:t>
            </w:r>
          </w:p>
        </w:tc>
        <w:tc>
          <w:tcPr>
            <w:tcW w:w="413" w:type="dxa"/>
            <w:gridSpan w:val="2"/>
            <w:tcBorders>
              <w:top w:val="single" w:sz="12" w:space="0" w:color="000080"/>
              <w:left w:val="single" w:sz="12" w:space="0" w:color="000080"/>
              <w:bottom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127" w:type="dxa"/>
            <w:gridSpan w:val="2"/>
            <w:tcBorders>
              <w:left w:val="single" w:sz="12" w:space="0" w:color="000080"/>
            </w:tcBorders>
            <w:shd w:fill="auto" w:val="clea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2526" w:type="dxa"/>
            <w:gridSpan w:val="8"/>
            <w:tcBorders>
              <w:top w:val="single" w:sz="8" w:space="0" w:color="000080"/>
              <w:left w:val="single" w:sz="8" w:space="0" w:color="000080"/>
              <w:bottom w:val="single" w:sz="8" w:space="0" w:color="000080"/>
            </w:tcBorders>
            <w:shd w:fill="auto" w:val="clear"/>
            <w:vAlign w:val="center"/>
          </w:tcPr>
          <w:p>
            <w:pPr>
              <w:pStyle w:val="Normal1"/>
              <w:widowControl w:val="false"/>
              <w:shd w:val="clear" w:fill="FFFFFF"/>
              <w:spacing w:lineRule="auto" w:line="240" w:before="57" w:after="0"/>
              <w:jc w:val="right"/>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VALOR ASSUMIDO PARA K7 =</w:t>
            </w:r>
          </w:p>
        </w:tc>
        <w:tc>
          <w:tcPr>
            <w:tcW w:w="483" w:type="dxa"/>
            <w:gridSpan w:val="2"/>
            <w:tcBorders>
              <w:top w:val="single" w:sz="12" w:space="0" w:color="000080"/>
              <w:left w:val="single" w:sz="12" w:space="0" w:color="000080"/>
              <w:bottom w:val="single" w:sz="12" w:space="0" w:color="000080"/>
              <w:right w:val="single" w:sz="12" w:space="0" w:color="000080"/>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r>
        <w:trPr>
          <w:cantSplit w:val="true"/>
        </w:trPr>
        <w:tc>
          <w:tcPr>
            <w:tcW w:w="9085" w:type="dxa"/>
            <w:gridSpan w:val="31"/>
            <w:tcBorders/>
            <w:shd w:fill="auto" w:val="clear"/>
            <w:vAlign w:val="center"/>
          </w:tcPr>
          <w:p>
            <w:pPr>
              <w:pStyle w:val="Normal1"/>
              <w:widowControl w:val="false"/>
              <w:shd w:val="clear" w:fill="FFFFFF"/>
              <w:spacing w:lineRule="auto" w:line="240" w:before="57" w:after="0"/>
              <w:jc w:val="center"/>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c>
          <w:tcPr>
            <w:tcW w:w="51" w:type="dxa"/>
            <w:tcBorders/>
            <w:shd w:fill="auto" w:val="clear"/>
          </w:tcPr>
          <w:p>
            <w:pPr>
              <w:pStyle w:val="Normal1"/>
              <w:shd w:val="clear" w:fill="FFFFFF"/>
              <w:spacing w:lineRule="auto" w:line="240" w:before="57" w:after="0"/>
              <w:rPr>
                <w:rFonts w:ascii="Arial" w:hAnsi="Arial" w:eastAsia="Arial" w:cs="Arial"/>
                <w:b/>
                <w:position w:val="0"/>
                <w:sz w:val="20"/>
                <w:sz w:val="20"/>
                <w:szCs w:val="20"/>
                <w:highlight w:val="white"/>
                <w:vertAlign w:val="baseline"/>
              </w:rPr>
            </w:pPr>
            <w:r>
              <w:rPr>
                <w:rFonts w:eastAsia="Arial" w:cs="Arial" w:ascii="Arial" w:hAnsi="Arial"/>
                <w:b/>
                <w:position w:val="0"/>
                <w:sz w:val="20"/>
                <w:sz w:val="20"/>
                <w:szCs w:val="20"/>
                <w:highlight w:val="white"/>
                <w:vertAlign w:val="baseline"/>
              </w:rPr>
            </w:r>
          </w:p>
        </w:tc>
      </w:tr>
    </w:tbl>
    <w:p>
      <w:pPr>
        <w:pStyle w:val="Normal1"/>
        <w:widowControl w:val="false"/>
        <w:shd w:val="clear" w:fill="FFFFFF"/>
        <w:tabs>
          <w:tab w:val="clear" w:pos="720"/>
          <w:tab w:val="left" w:pos="1986" w:leader="none"/>
        </w:tabs>
        <w:spacing w:lineRule="auto" w:line="240" w:before="57" w:after="0"/>
        <w:ind w:hanging="0"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Sendo:</w:t>
      </w:r>
    </w:p>
    <w:tbl>
      <w:tblPr>
        <w:tblStyle w:val="Table86"/>
        <w:tblW w:w="2977" w:type="dxa"/>
        <w:jc w:val="left"/>
        <w:tblInd w:w="-70" w:type="dxa"/>
        <w:tblLayout w:type="fixed"/>
        <w:tblCellMar>
          <w:top w:w="0" w:type="dxa"/>
          <w:left w:w="108" w:type="dxa"/>
          <w:bottom w:w="0" w:type="dxa"/>
          <w:right w:w="108" w:type="dxa"/>
        </w:tblCellMar>
        <w:tblLook w:val="0000"/>
      </w:tblPr>
      <w:tblGrid>
        <w:gridCol w:w="709"/>
        <w:gridCol w:w="2267"/>
      </w:tblGrid>
      <w:tr>
        <w:trPr>
          <w:cantSplit w:val="true"/>
        </w:trPr>
        <w:tc>
          <w:tcPr>
            <w:tcW w:w="709"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2267"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Coeficiente Financeiro</w:t>
            </w:r>
          </w:p>
        </w:tc>
      </w:tr>
      <w:tr>
        <w:trPr>
          <w:cantSplit w:val="true"/>
        </w:trPr>
        <w:tc>
          <w:tcPr>
            <w:tcW w:w="709"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Kf =</w:t>
            </w:r>
          </w:p>
        </w:tc>
        <w:tc>
          <w:tcPr>
            <w:tcW w:w="2267"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K5 + K6 + K7</w:t>
            </w:r>
          </w:p>
        </w:tc>
      </w:tr>
      <w:tr>
        <w:trPr>
          <w:cantSplit w:val="true"/>
        </w:trPr>
        <w:tc>
          <w:tcPr>
            <w:tcW w:w="2976" w:type="dxa"/>
            <w:gridSpan w:val="2"/>
            <w:tcBorders/>
            <w:shd w:fill="auto" w:val="clear"/>
            <w:vAlign w:val="center"/>
          </w:tcPr>
          <w:p>
            <w:pPr>
              <w:pStyle w:val="Normal1"/>
              <w:shd w:val="clear" w:fill="FFFFFF"/>
              <w:spacing w:lineRule="auto" w:line="240" w:before="57" w:after="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986" w:leader="none"/>
        </w:tabs>
        <w:spacing w:lineRule="auto" w:line="240" w:before="57" w:after="0"/>
        <w:ind w:hanging="576"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Disponibilidade Financeira Operacional:</w:t>
      </w:r>
    </w:p>
    <w:tbl>
      <w:tblPr>
        <w:tblStyle w:val="Table87"/>
        <w:tblW w:w="4533" w:type="dxa"/>
        <w:jc w:val="left"/>
        <w:tblInd w:w="-70" w:type="dxa"/>
        <w:tblLayout w:type="fixed"/>
        <w:tblCellMar>
          <w:top w:w="0" w:type="dxa"/>
          <w:left w:w="108" w:type="dxa"/>
          <w:bottom w:w="0" w:type="dxa"/>
          <w:right w:w="108" w:type="dxa"/>
        </w:tblCellMar>
        <w:tblLook w:val="0000"/>
      </w:tblPr>
      <w:tblGrid>
        <w:gridCol w:w="703"/>
        <w:gridCol w:w="3829"/>
      </w:tblGrid>
      <w:tr>
        <w:trPr>
          <w:cantSplit w:val="true"/>
        </w:trPr>
        <w:tc>
          <w:tcPr>
            <w:tcW w:w="703"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w:t>
            </w:r>
          </w:p>
        </w:tc>
        <w:tc>
          <w:tcPr>
            <w:tcW w:w="3829"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Disponibilidade Financeira Operacional</w:t>
            </w:r>
          </w:p>
        </w:tc>
      </w:tr>
      <w:tr>
        <w:trPr>
          <w:cantSplit w:val="true"/>
        </w:trPr>
        <w:tc>
          <w:tcPr>
            <w:tcW w:w="703"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 =</w:t>
            </w:r>
          </w:p>
        </w:tc>
        <w:tc>
          <w:tcPr>
            <w:tcW w:w="3829"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1,25 x Kf x PL – SC</w:t>
            </w:r>
          </w:p>
        </w:tc>
      </w:tr>
      <w:tr>
        <w:trPr>
          <w:cantSplit w:val="true"/>
        </w:trPr>
        <w:tc>
          <w:tcPr>
            <w:tcW w:w="4532" w:type="dxa"/>
            <w:gridSpan w:val="2"/>
            <w:tcBorders/>
            <w:shd w:fill="auto" w:val="clear"/>
            <w:vAlign w:val="center"/>
          </w:tcPr>
          <w:p>
            <w:pPr>
              <w:pStyle w:val="Normal1"/>
              <w:widowControl w:val="false"/>
              <w:shd w:val="clear" w:fill="FFFFFF"/>
              <w:spacing w:lineRule="auto" w:line="240" w:before="57" w:after="0"/>
              <w:ind w:hanging="0" w:left="-70"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986" w:leader="none"/>
        </w:tabs>
        <w:spacing w:lineRule="auto" w:line="240" w:before="57" w:after="0"/>
        <w:ind w:hanging="0" w:left="993"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Onde:</w:t>
      </w:r>
    </w:p>
    <w:tbl>
      <w:tblPr>
        <w:tblStyle w:val="Table88"/>
        <w:tblW w:w="8218" w:type="dxa"/>
        <w:jc w:val="left"/>
        <w:tblInd w:w="-70" w:type="dxa"/>
        <w:tblLayout w:type="fixed"/>
        <w:tblCellMar>
          <w:top w:w="0" w:type="dxa"/>
          <w:left w:w="108" w:type="dxa"/>
          <w:bottom w:w="0" w:type="dxa"/>
          <w:right w:w="108" w:type="dxa"/>
        </w:tblCellMar>
        <w:tblLook w:val="0000"/>
      </w:tblPr>
      <w:tblGrid>
        <w:gridCol w:w="705"/>
        <w:gridCol w:w="7512"/>
      </w:tblGrid>
      <w:tr>
        <w:trPr>
          <w:cantSplit w:val="true"/>
        </w:trPr>
        <w:tc>
          <w:tcPr>
            <w:tcW w:w="705"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PL =</w:t>
            </w:r>
          </w:p>
        </w:tc>
        <w:tc>
          <w:tcPr>
            <w:tcW w:w="7512"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Patrimônio Líquido</w:t>
            </w:r>
          </w:p>
        </w:tc>
      </w:tr>
      <w:tr>
        <w:trPr>
          <w:cantSplit w:val="true"/>
        </w:trPr>
        <w:tc>
          <w:tcPr>
            <w:tcW w:w="705" w:type="dxa"/>
            <w:tcBorders/>
            <w:shd w:fill="auto" w:val="clear"/>
            <w:vAlign w:val="cente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7512" w:type="dxa"/>
            <w:tcBorders/>
            <w:shd w:fill="auto" w:val="clear"/>
            <w:vAlign w:val="center"/>
          </w:tcPr>
          <w:p>
            <w:pPr>
              <w:pStyle w:val="Normal1"/>
              <w:shd w:val="clear" w:fill="FFFFFF"/>
              <w:spacing w:lineRule="auto" w:line="240" w:before="57" w:after="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Saldo Contratual, conforme Anexo XI</w:t>
            </w:r>
          </w:p>
        </w:tc>
      </w:tr>
      <w:tr>
        <w:trPr>
          <w:trHeight w:val="720" w:hRule="atLeast"/>
          <w:cantSplit w:val="true"/>
        </w:trPr>
        <w:tc>
          <w:tcPr>
            <w:tcW w:w="705" w:type="dxa"/>
            <w:tcBorders/>
            <w:shd w:fill="auto" w:val="clear"/>
          </w:tcPr>
          <w:p>
            <w:pPr>
              <w:pStyle w:val="Normal1"/>
              <w:shd w:val="clear" w:fill="FFFFFF"/>
              <w:spacing w:lineRule="auto" w:line="240" w:before="57" w:after="0"/>
              <w:ind w:hanging="0" w:left="85" w:right="0"/>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SC =</w:t>
            </w:r>
          </w:p>
        </w:tc>
        <w:tc>
          <w:tcPr>
            <w:tcW w:w="7512" w:type="dxa"/>
            <w:tcBorders/>
            <w:shd w:fill="auto" w:val="clear"/>
            <w:vAlign w:val="center"/>
          </w:tcPr>
          <w:p>
            <w:pPr>
              <w:pStyle w:val="Normal1"/>
              <w:shd w:val="clear" w:fill="FFFFFF"/>
              <w:spacing w:lineRule="auto" w:line="240" w:before="57" w:after="0"/>
              <w:rPr>
                <w:rFonts w:ascii="Arial" w:hAnsi="Arial"/>
                <w:sz w:val="20"/>
                <w:szCs w:val="20"/>
              </w:rPr>
            </w:pPr>
            <w:sdt>
              <w:sdtPr>
                <w:tag w:val="goog_rdk_34"/>
              </w:sdtPr>
              <w:sdtContent>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Unicode MS" w:cs="Arial Unicode MS" w:ascii="Arial" w:hAnsi="Arial"/>
                    <w:b w:val="false"/>
                    <w:i w:val="false"/>
                    <w:caps w:val="false"/>
                    <w:smallCaps w:val="false"/>
                    <w:strike w:val="false"/>
                    <w:dstrike w:val="false"/>
                    <w:position w:val="0"/>
                    <w:sz w:val="20"/>
                    <w:sz w:val="20"/>
                    <w:szCs w:val="20"/>
                    <w:highlight w:val="white"/>
                    <w:vertAlign w:val="baseline"/>
                  </w:rPr>
                  <w:t>Valor do compromisso – ∑ Valor já faturado, isto é, a diferença entre a somatória dos compromissos e a somatória dos valores já faturados referentes aos compromissos.</w:t>
                </w:r>
              </w:sdtContent>
            </w:sdt>
          </w:p>
        </w:tc>
      </w:tr>
      <w:tr>
        <w:trPr>
          <w:cantSplit w:val="true"/>
        </w:trPr>
        <w:tc>
          <w:tcPr>
            <w:tcW w:w="8217" w:type="dxa"/>
            <w:gridSpan w:val="2"/>
            <w:tcBorders/>
            <w:shd w:fill="auto" w:val="clear"/>
            <w:vAlign w:val="center"/>
          </w:tcPr>
          <w:p>
            <w:pPr>
              <w:pStyle w:val="Normal1"/>
              <w:widowControl w:val="false"/>
              <w:shd w:val="clear" w:fill="FFFFFF"/>
              <w:spacing w:lineRule="auto" w:line="240" w:before="57" w:after="0"/>
              <w:ind w:hanging="0" w:left="-70" w:right="0"/>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tc>
      </w:tr>
    </w:tbl>
    <w:p>
      <w:pPr>
        <w:pStyle w:val="Normal1"/>
        <w:widowControl w:val="false"/>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Disponibilidade Financeira deverá ser maior ou igual ao valor da proposta do Licitante, e deverá ser recalculada e entregue na assinatura do contrato. Para isso deverá ser entregue pelo licitante vencedor um novo Quadro, conforme</w:t>
      </w:r>
      <w:r>
        <w:rPr>
          <w:rFonts w:eastAsia="Arial" w:cs="Arial" w:ascii="Arial" w:hAnsi="Arial"/>
          <w:b w:val="false"/>
          <w:i w:val="false"/>
          <w:caps w:val="false"/>
          <w:smallCaps w:val="false"/>
          <w:strike w:val="false"/>
          <w:dstrike w:val="false"/>
          <w:position w:val="0"/>
          <w:sz w:val="20"/>
          <w:sz w:val="20"/>
          <w:szCs w:val="20"/>
          <w:vertAlign w:val="baseline"/>
        </w:rPr>
        <w:t xml:space="preserve"> Anexo IX e</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Memorial de Cálculo da Disponibilidade Financeira Operacional.</w:t>
      </w:r>
    </w:p>
    <w:p>
      <w:pPr>
        <w:pStyle w:val="Normal1"/>
        <w:widowControl w:val="false"/>
        <w:shd w:val="clear" w:fill="FFFFFF"/>
        <w:tabs>
          <w:tab w:val="clear" w:pos="720"/>
          <w:tab w:val="left" w:pos="1390"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As fórmulas indicadas deverão estar devidamente aplicadas em memorial de cálculos juntado ao balanço.</w:t>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1"/>
          <w:numId w:val="10"/>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Na ocorrência de algum equívoco na elaboração destes cálculos, tendo o licitante fornecido dados que possibilitem a correção dos mesmos, não será motivo de inabilitação.</w:t>
      </w:r>
    </w:p>
    <w:p>
      <w:pPr>
        <w:pStyle w:val="Normal1"/>
        <w:widowControl w:val="false"/>
        <w:numPr>
          <w:ilvl w:val="0"/>
          <w:numId w:val="10"/>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Atendimento aos Requisitos de Habilitação e Capacidade Operacional Financeira com os compromissos assumidos pelo licitante que importem diminuição da capacidade operativa ou absorção de disponibilidade financeira, calculada esta em função do patrimônio líquido atualizado e sua capacidade de rotação</w:t>
      </w:r>
      <w:r>
        <w:rPr>
          <w:rFonts w:eastAsia="Arial" w:cs="Arial" w:ascii="Arial" w:hAnsi="Arial"/>
          <w:b w:val="false"/>
          <w:i w:val="false"/>
          <w:caps w:val="false"/>
          <w:smallCaps w:val="false"/>
          <w:strike w:val="false"/>
          <w:dstrike w:val="false"/>
          <w:position w:val="0"/>
          <w:sz w:val="20"/>
          <w:sz w:val="20"/>
          <w:szCs w:val="20"/>
          <w:vertAlign w:val="baseline"/>
        </w:rPr>
        <w:t xml:space="preserve"> (Anexo IX).</w:t>
      </w:r>
    </w:p>
    <w:p>
      <w:pPr>
        <w:pStyle w:val="Normal1"/>
        <w:widowControl w:val="false"/>
        <w:shd w:val="clear" w:fill="FFFFFF"/>
        <w:tabs>
          <w:tab w:val="clear" w:pos="720"/>
          <w:tab w:val="left" w:pos="1248"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851" w:leader="none"/>
        </w:tabs>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1.4.3.1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empresas DEVERÃO APRESENTAR OS ÍNDICES JÁ CALCULADOS, com assinatura do contador e do representante legal da empresa, que serão analisados com base no balanço apresentado.</w:t>
      </w:r>
    </w:p>
    <w:tbl>
      <w:tblPr>
        <w:tblStyle w:val="Table89"/>
        <w:tblW w:w="9075" w:type="dxa"/>
        <w:jc w:val="left"/>
        <w:tblInd w:w="-55" w:type="dxa"/>
        <w:tblLayout w:type="fixed"/>
        <w:tblCellMar>
          <w:top w:w="0" w:type="dxa"/>
          <w:left w:w="108" w:type="dxa"/>
          <w:bottom w:w="0" w:type="dxa"/>
          <w:right w:w="108" w:type="dxa"/>
        </w:tblCellMar>
        <w:tblLook w:val="0000"/>
      </w:tblPr>
      <w:tblGrid>
        <w:gridCol w:w="9075"/>
      </w:tblGrid>
      <w:tr>
        <w:trPr>
          <w:trHeight w:val="1762" w:hRule="atLeast"/>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46</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(Obs. As notas explicativas são meramente orientativas. Portanto, devem ser excluídas do edital a ser publicado)</w:t>
            </w:r>
          </w:p>
          <w:p>
            <w:pPr>
              <w:pStyle w:val="Normal1"/>
              <w:keepNext w:val="false"/>
              <w:keepLines w:val="false"/>
              <w:widowControl/>
              <w:shd w:val="clear" w:fill="FFFF00"/>
              <w:spacing w:lineRule="auto" w:line="240" w:before="57" w:after="0"/>
              <w:ind w:hanging="0" w:left="0" w:right="0"/>
              <w:jc w:val="both"/>
              <w:rPr>
                <w:rFonts w:ascii="Arial" w:hAnsi="Arial" w:eastAsia="Arial" w:cs="Arial"/>
                <w:b/>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r>
          </w:p>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Os índices ILG, ILC e GE deste Edital são meramente exemplificativos, e deverão ser estabelecidos conforme o porte da obra, com a devida justificativa pelo setor competente do órgão licitante.</w:t>
            </w:r>
          </w:p>
        </w:tc>
      </w:tr>
    </w:tbl>
    <w:p>
      <w:pPr>
        <w:pStyle w:val="Normal1"/>
        <w:widowControl w:val="false"/>
        <w:shd w:val="clear" w:fill="FFFFFF"/>
        <w:tabs>
          <w:tab w:val="clear" w:pos="720"/>
          <w:tab w:val="left" w:pos="567" w:leader="none"/>
        </w:tabs>
        <w:spacing w:lineRule="auto" w:line="240" w:before="0" w:after="57"/>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widowControl w:val="false"/>
        <w:shd w:val="clear" w:fill="FFFFFF"/>
        <w:tabs>
          <w:tab w:val="clear" w:pos="720"/>
          <w:tab w:val="left" w:pos="567" w:leader="none"/>
        </w:tabs>
        <w:spacing w:lineRule="auto" w:line="240" w:before="0" w:after="57"/>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1.4.3.2.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As empresas, cadastradas ou não no Portal Nacional de Contratações Pública (PNCP), deverão apresentar resultado: superior ou igual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no índice de Liquidez Geral (LG); superior ou igual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no índice de Solvência Geral (SG); superior ou igual 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no índice de Liquidez Corrente (LC).</w:t>
      </w:r>
    </w:p>
    <w:tbl>
      <w:tblPr>
        <w:tblStyle w:val="Table90"/>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47</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ind w:right="0"/>
              <w:jc w:val="both"/>
              <w:rPr>
                <w:rFonts w:ascii="Arial" w:hAnsi="Arial" w:eastAsia="Arial" w:cs="Arial"/>
                <w:b/>
                <w:position w:val="0"/>
                <w:sz w:val="20"/>
                <w:sz w:val="20"/>
                <w:szCs w:val="20"/>
                <w:vertAlign w:val="baseline"/>
              </w:rPr>
            </w:pPr>
            <w:r>
              <w:rPr>
                <w:rFonts w:eastAsia="Arial" w:cs="Arial" w:ascii="Arial" w:hAnsi="Arial"/>
                <w:b/>
                <w:position w:val="0"/>
                <w:sz w:val="20"/>
                <w:sz w:val="20"/>
                <w:szCs w:val="20"/>
                <w:vertAlign w:val="baseline"/>
              </w:rPr>
            </w:r>
          </w:p>
          <w:p>
            <w:pPr>
              <w:pStyle w:val="Normal1"/>
              <w:shd w:val="clear" w:fill="FFFF00"/>
              <w:spacing w:lineRule="auto" w:line="240" w:before="57" w:after="0"/>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Compete à Administração Pública definir os índices escolhidos, justificando de forma expressa no protocolado, por meio de estudos técnicos, vedada a exigência de índices e valores não usualmente adotados para a correta avaliação da situação financeira do licitante, suficiente ao cumprimento das obrigações decorrentes da licitação. 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tc>
      </w:tr>
    </w:tbl>
    <w:p>
      <w:pPr>
        <w:pStyle w:val="Normal1"/>
        <w:shd w:val="clear" w:fill="FFFFFF"/>
        <w:spacing w:lineRule="auto" w:line="240" w:before="57" w:after="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 xml:space="preserve">1.4.4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Comprovação de possuir Patrimônio Líquido igual ou superior a </w:t>
      </w:r>
      <w:r>
        <w:rPr>
          <w:rFonts w:eastAsia="Arial" w:cs="Arial" w:ascii="Arial" w:hAnsi="Arial"/>
          <w:b w:val="false"/>
          <w:i w:val="false"/>
          <w:caps w:val="false"/>
          <w:smallCaps w:val="false"/>
          <w:strike w:val="false"/>
          <w:dstrike w:val="false"/>
          <w:position w:val="0"/>
          <w:sz w:val="20"/>
          <w:sz w:val="20"/>
          <w:szCs w:val="20"/>
          <w:highlight w:val="yellow"/>
          <w:vertAlign w:val="baseline"/>
        </w:rPr>
        <w:t>R$ 000.000,00 (xxx reais),</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mediante apresentação de Balanço Patrimonial e Demonstrações Contábeis do último exercício social – cópia extraída do Livro Diário e registrado na Junta Comercial ou publicação em Diário Oficial, ou Certidão de Cartório de Títulos ou Documentos. </w:t>
      </w:r>
      <w:r>
        <w:rPr>
          <w:rFonts w:eastAsia="Arial" w:cs="Arial" w:ascii="Arial" w:hAnsi="Arial"/>
          <w:b w:val="false"/>
          <w:i w:val="false"/>
          <w:caps w:val="false"/>
          <w:smallCaps w:val="false"/>
          <w:strike w:val="false"/>
          <w:dstrike w:val="false"/>
          <w:position w:val="0"/>
          <w:sz w:val="20"/>
          <w:sz w:val="20"/>
          <w:szCs w:val="20"/>
          <w:highlight w:val="yellow"/>
          <w:vertAlign w:val="baseline"/>
        </w:rPr>
        <w:t>Uma vez que estes documentos já foram apresentados (item 1.4.2), não é necessária nova inclusão.</w:t>
      </w:r>
    </w:p>
    <w:p>
      <w:pPr>
        <w:pStyle w:val="Normal1"/>
        <w:widowControl w:val="false"/>
        <w:shd w:val="clear" w:fill="FFFFFF"/>
        <w:tabs>
          <w:tab w:val="clear" w:pos="720"/>
          <w:tab w:val="left" w:pos="567" w:leader="none"/>
        </w:tabs>
        <w:spacing w:lineRule="auto" w:line="240" w:before="57" w:after="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as empresas cadastradas no Programa REFIS deverá ser obedecido o artigo 14 da Lei Federal n.º 9.964 de 10/04/2000.</w:t>
      </w:r>
    </w:p>
    <w:p>
      <w:pPr>
        <w:pStyle w:val="Normal1"/>
        <w:widowControl w:val="false"/>
        <w:shd w:val="clear" w:fill="FFFFFF"/>
        <w:tabs>
          <w:tab w:val="clear" w:pos="720"/>
          <w:tab w:val="left" w:pos="567" w:leader="none"/>
        </w:tabs>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91"/>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48</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0" w:after="57"/>
              <w:ind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right="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0" w:after="57"/>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A Administração, considerando as peculiaridades do objeto, poderá exigir a relação dos compromissos assumidos pelos licitantes. Nesse caso, deverá </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incluir</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o item a seguir:</w:t>
            </w:r>
          </w:p>
          <w:p>
            <w:pPr>
              <w:pStyle w:val="Normal1"/>
              <w:shd w:val="clear" w:fill="FFFF00"/>
              <w:spacing w:lineRule="auto" w:line="240" w:before="0" w:after="57"/>
              <w:ind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57"/>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1.4.5</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As empresas deverão apresentar a relação dos compromissos assumidos que importem diminuição da capacidade operativa ou absorção da disponibilidade financeira, calculada em função do patrimônio líquido atualizado e sua capacidade de rotação</w:t>
            </w:r>
            <w:r>
              <w:rPr>
                <w:rFonts w:eastAsia="Arial" w:cs="Arial" w:ascii="Arial" w:hAnsi="Arial"/>
                <w:b w:val="false"/>
                <w:i/>
                <w:caps w:val="false"/>
                <w:smallCaps w:val="false"/>
                <w:strike w:val="false"/>
                <w:dstrike w:val="false"/>
                <w:color w:val="000000"/>
                <w:position w:val="0"/>
                <w:sz w:val="20"/>
                <w:sz w:val="20"/>
                <w:szCs w:val="20"/>
                <w:highlight w:val="yellow"/>
                <w:vertAlign w:val="baseline"/>
              </w:rPr>
              <w:t>.</w:t>
            </w:r>
          </w:p>
        </w:tc>
      </w:tr>
    </w:tbl>
    <w:p>
      <w:pPr>
        <w:pStyle w:val="Normal1"/>
        <w:shd w:val="clear" w:fill="FFFFFF"/>
        <w:spacing w:lineRule="auto" w:line="240" w:before="0" w:after="57"/>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92"/>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49</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Na contratação de serviços, para fins de qualificação econômico-financeira, deverá a Administração, de forma justificada, exigir dos licitantes, ainda, capital social mínimo ou patrimônio líquido mínimo, de forma não cumulativa. Nessas hipóteses, deverá</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 xml:space="preserve"> incluir</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o item abaixo:</w:t>
            </w:r>
          </w:p>
          <w:p>
            <w:pPr>
              <w:pStyle w:val="Normal1"/>
              <w:shd w:val="clear" w:fill="FFFF00"/>
              <w:spacing w:lineRule="auto" w:line="240" w:before="57" w:after="0"/>
              <w:ind w:right="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1.4.5.1</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As empresas, cadastradas ou não no Cadastro Unificado de Fornecedores do Estado do Paraná, deverão comprovar capital social ou patrimônio líquido mínimo de XX% do valor estimado da contratação ou item pertinente”.</w:t>
            </w:r>
          </w:p>
          <w:p>
            <w:pPr>
              <w:pStyle w:val="Normal1"/>
              <w:shd w:val="clear" w:fill="FFFF00"/>
              <w:spacing w:lineRule="auto" w:line="240" w:before="57" w:after="0"/>
              <w:ind w:right="0"/>
              <w:jc w:val="both"/>
              <w:rPr>
                <w:rFonts w:ascii="Arial" w:hAnsi="Arial" w:eastAsia="Arial" w:cs="Arial"/>
                <w:position w:val="0"/>
                <w:sz w:val="20"/>
                <w:sz w:val="20"/>
                <w:szCs w:val="20"/>
                <w:highlight w:val="yellow"/>
                <w:vertAlign w:val="baseline"/>
              </w:rPr>
            </w:pPr>
            <w:r>
              <w:rPr>
                <w:rFonts w:eastAsia="Arial" w:cs="Arial" w:ascii="Arial" w:hAnsi="Arial"/>
                <w:position w:val="0"/>
                <w:sz w:val="20"/>
                <w:sz w:val="20"/>
                <w:szCs w:val="20"/>
                <w:highlight w:val="yellow"/>
                <w:vertAlign w:val="baseline"/>
              </w:rPr>
            </w:r>
          </w:p>
          <w:p>
            <w:pPr>
              <w:pStyle w:val="Normal1"/>
              <w:shd w:val="clear" w:fill="FFFF00"/>
              <w:spacing w:lineRule="auto" w:line="240" w:before="57" w:after="0"/>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A Administração deverá juntar aos autos justificativas para o percentual fixado de capital ou de patrimônio líquido mínimo, limitado a 10% (dez por cento) do valor estimado da contratação (§ 4º do art. 69, da Lei Federal n.º 14.133/2021), assegurando-se de que não restrinja o caráter competitivo do certame.</w:t>
            </w:r>
          </w:p>
          <w:p>
            <w:pPr>
              <w:pStyle w:val="Normal1"/>
              <w:shd w:val="clear" w:fill="FFFF00"/>
              <w:spacing w:lineRule="auto" w:line="240" w:before="57" w:after="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1"/>
        <w:shd w:val="clear" w:fill="FFFFFF"/>
        <w:spacing w:lineRule="auto" w:line="240" w:before="57" w:after="0"/>
        <w:jc w:val="both"/>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spacing w:lineRule="auto" w:line="240" w:before="57" w:after="0"/>
        <w:ind w:hanging="0" w:left="-1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1.5 </w:t>
      </w: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DOCUMENTOS DE QUALIFICAÇÃO TÉCNICA:</w:t>
      </w:r>
    </w:p>
    <w:p>
      <w:pPr>
        <w:pStyle w:val="Normal1"/>
        <w:shd w:val="clear" w:fill="FFFFFF"/>
        <w:spacing w:lineRule="auto" w:line="240" w:before="57" w:after="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tbl>
      <w:tblPr>
        <w:tblStyle w:val="Table93"/>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50</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Para fins de qualificação técnica, a Administração deverá ficar restrita ao que estabelece o art. 67 da Lei Federal n.º 14.133/2021.</w:t>
            </w:r>
          </w:p>
        </w:tc>
      </w:tr>
    </w:tbl>
    <w:p>
      <w:pPr>
        <w:pStyle w:val="Normal1"/>
        <w:widowControl w:val="false"/>
        <w:numPr>
          <w:ilvl w:val="0"/>
          <w:numId w:val="0"/>
        </w:numPr>
        <w:shd w:val="clear" w:fill="FFFFFF"/>
        <w:tabs>
          <w:tab w:val="clear" w:pos="720"/>
          <w:tab w:val="left" w:pos="420" w:leader="none"/>
        </w:tabs>
        <w:spacing w:lineRule="auto" w:line="240" w:before="57" w:after="0"/>
        <w:ind w:hanging="0" w:left="-6" w:right="0"/>
        <w:jc w:val="both"/>
        <w:rPr>
          <w:rFonts w:ascii="Arial" w:hAnsi="Arial"/>
          <w:sz w:val="20"/>
          <w:szCs w:val="20"/>
        </w:rPr>
      </w:pPr>
      <w:r>
        <w:rPr>
          <w:rFonts w:ascii="Arial" w:hAnsi="Arial"/>
          <w:sz w:val="20"/>
          <w:szCs w:val="20"/>
        </w:rPr>
      </w:r>
    </w:p>
    <w:p>
      <w:pPr>
        <w:pStyle w:val="Normal1"/>
        <w:widowControl w:val="false"/>
        <w:numPr>
          <w:ilvl w:val="0"/>
          <w:numId w:val="0"/>
        </w:numPr>
        <w:shd w:val="clear" w:fill="FFFFFF"/>
        <w:tabs>
          <w:tab w:val="clear" w:pos="720"/>
          <w:tab w:val="left" w:pos="420" w:leader="none"/>
        </w:tabs>
        <w:spacing w:lineRule="auto" w:line="240" w:before="57" w:after="0"/>
        <w:ind w:hanging="0" w:left="-6"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 COMPROVAÇÃO DE QUALIFICAÇÃO TÉCNICA</w:t>
      </w:r>
    </w:p>
    <w:p>
      <w:pPr>
        <w:pStyle w:val="Normal1"/>
        <w:widowControl w:val="false"/>
        <w:shd w:val="clear" w:fill="FFFFFF"/>
        <w:tabs>
          <w:tab w:val="clear" w:pos="720"/>
          <w:tab w:val="left" w:pos="420" w:leader="none"/>
        </w:tabs>
        <w:spacing w:lineRule="auto" w:line="240" w:before="57" w:after="0"/>
        <w:ind w:hanging="0" w:left="-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852" w:leader="none"/>
        </w:tabs>
        <w:spacing w:lineRule="auto" w:line="240" w:before="57" w:after="0"/>
        <w:ind w:hanging="0" w:left="426"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Para a comprovação de Qualificação Técnica o licitante arrematante deverá entregar:</w:t>
      </w:r>
    </w:p>
    <w:p>
      <w:pPr>
        <w:pStyle w:val="Normal1"/>
        <w:widowControl w:val="false"/>
        <w:shd w:val="clear" w:fill="FFFFFF"/>
        <w:tabs>
          <w:tab w:val="clear" w:pos="720"/>
          <w:tab w:val="left" w:pos="852" w:leader="none"/>
        </w:tabs>
        <w:spacing w:lineRule="auto" w:line="240" w:before="57" w:after="0"/>
        <w:ind w:hanging="0" w:left="426"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630" w:leader="none"/>
        </w:tabs>
        <w:spacing w:lineRule="auto" w:line="240" w:before="57" w:after="0"/>
        <w:ind w:hanging="0" w:left="6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shd w:fill="auto" w:val="clear"/>
          <w:vertAlign w:val="baseline"/>
        </w:rPr>
        <w:t>1.5.1.1 CAPACIDADE TÉCNICA OPERACIONAL</w:t>
      </w:r>
    </w:p>
    <w:p>
      <w:pPr>
        <w:pStyle w:val="Normal1"/>
        <w:widowControl w:val="false"/>
        <w:shd w:val="clear" w:fill="FFFFFF"/>
        <w:tabs>
          <w:tab w:val="clear" w:pos="720"/>
          <w:tab w:val="left" w:pos="63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auto" w:val="clear"/>
          <w:vertAlign w:val="baseline"/>
        </w:rPr>
        <w:t>A documentação relativa à Capacidade Técnica Operacional consistirá em:</w:t>
      </w:r>
    </w:p>
    <w:p>
      <w:pPr>
        <w:pStyle w:val="Normal1"/>
        <w:widowControl w:val="false"/>
        <w:numPr>
          <w:ilvl w:val="0"/>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auto" w:val="clear"/>
          <w:vertAlign w:val="baseline"/>
        </w:rPr>
        <w:t>Certidão de Registro de Pessoa Jurídica com a regularidade do licitante junto ao Conselho Regional de Engenharia e Agronomia – CREA e/ou Conselho de Arquitetura e Urbanismo – CAU, dentro de seu prazo de validade e com jurisdição na sua sede.</w:t>
      </w:r>
    </w:p>
    <w:p>
      <w:pPr>
        <w:pStyle w:val="Normal1"/>
        <w:widowControl w:val="false"/>
        <w:numPr>
          <w:ilvl w:val="1"/>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auto" w:val="clear"/>
          <w:vertAlign w:val="baseline"/>
        </w:rPr>
        <w:t>Em se tratando de empresa de engenharia não registrada no CREA do Estado do Paraná, deverá apresentar o registro do CREA do Estado de origem, ficando a licitante vencedora obrigada a apresentar o visto do CREA do Paraná antes da assinatura do contrato.</w:t>
      </w:r>
    </w:p>
    <w:p>
      <w:pPr>
        <w:pStyle w:val="Normal1"/>
        <w:widowControl w:val="false"/>
        <w:numPr>
          <w:ilvl w:val="0"/>
          <w:numId w:val="11"/>
        </w:numPr>
        <w:shd w:val="clear" w:fill="FFFFFF"/>
        <w:tabs>
          <w:tab w:val="clear" w:pos="720"/>
          <w:tab w:val="left" w:pos="1248" w:leader="none"/>
        </w:tabs>
        <w:spacing w:lineRule="auto" w:line="240" w:before="57" w:after="0"/>
        <w:ind w:hanging="0" w:left="397" w:right="0"/>
        <w:jc w:val="both"/>
        <w:rPr>
          <w:highlight w:val="none"/>
          <w:shd w:fill="auto" w:val="clear"/>
        </w:rPr>
      </w:pPr>
      <w:r>
        <w:rPr>
          <w:rFonts w:eastAsia="Arial" w:cs="Arial" w:ascii="Arial" w:hAnsi="Arial"/>
          <w:b w:val="false"/>
          <w:i w:val="false"/>
          <w:caps w:val="false"/>
          <w:smallCaps w:val="false"/>
          <w:strike w:val="false"/>
          <w:dstrike w:val="false"/>
          <w:color w:val="FF0000"/>
          <w:position w:val="0"/>
          <w:sz w:val="20"/>
          <w:sz w:val="20"/>
          <w:szCs w:val="20"/>
          <w:shd w:fill="auto" w:val="clear"/>
          <w:vertAlign w:val="baseline"/>
        </w:rPr>
        <w:t xml:space="preserve">Comprovação de aptidão para execução de serviço similar, de complexidade tecnológica e operacional equivalente ou superior </w:t>
      </w:r>
      <w:r>
        <w:rPr>
          <w:rFonts w:eastAsia="Arial" w:cs="Arial" w:ascii="Arial" w:hAnsi="Arial"/>
          <w:color w:val="FF0000"/>
          <w:sz w:val="20"/>
          <w:szCs w:val="20"/>
          <w:shd w:fill="auto" w:val="clear"/>
        </w:rPr>
        <w:t>à</w:t>
      </w:r>
      <w:r>
        <w:rPr>
          <w:rFonts w:eastAsia="Arial" w:cs="Arial" w:ascii="Arial" w:hAnsi="Arial"/>
          <w:b w:val="false"/>
          <w:i w:val="false"/>
          <w:caps w:val="false"/>
          <w:smallCaps w:val="false"/>
          <w:strike w:val="false"/>
          <w:dstrike w:val="false"/>
          <w:color w:val="FF0000"/>
          <w:position w:val="0"/>
          <w:sz w:val="20"/>
          <w:sz w:val="20"/>
          <w:szCs w:val="20"/>
          <w:shd w:fill="auto" w:val="clear"/>
          <w:vertAlign w:val="baseline"/>
        </w:rPr>
        <w:t xml:space="preserve"> do objeto desta contratação, ou do item pertinente, por meio da apresentação de certidões ou atestados emitidos por pessoas jurídicas de direito público ou privado, e/ou pelo conselho profissional competente, quando for o caso.</w:t>
      </w:r>
    </w:p>
    <w:p>
      <w:pPr>
        <w:pStyle w:val="Normal1"/>
        <w:widowControl w:val="false"/>
        <w:shd w:val="clear" w:fill="FFFFFF"/>
        <w:tabs>
          <w:tab w:val="clear" w:pos="720"/>
          <w:tab w:val="left" w:pos="1248" w:leader="none"/>
        </w:tabs>
        <w:spacing w:lineRule="auto" w:line="240" w:before="57" w:after="0"/>
        <w:ind w:hanging="0" w:left="397" w:right="0"/>
        <w:jc w:val="both"/>
        <w:rPr>
          <w:rFonts w:ascii="Arial" w:hAnsi="Arial"/>
          <w:position w:val="0"/>
          <w:sz w:val="20"/>
          <w:sz w:val="20"/>
          <w:szCs w:val="20"/>
          <w:highlight w:val="none"/>
          <w:shd w:fill="81D41A" w:val="clear"/>
          <w:vertAlign w:val="baseline"/>
        </w:rPr>
      </w:pPr>
      <w:r>
        <w:rPr>
          <w:rFonts w:ascii="Arial" w:hAnsi="Arial"/>
          <w:position w:val="0"/>
          <w:sz w:val="20"/>
          <w:sz w:val="20"/>
          <w:szCs w:val="20"/>
          <w:shd w:fill="81D41A" w:val="clear"/>
          <w:vertAlign w:val="baseline"/>
        </w:rPr>
      </w:r>
    </w:p>
    <w:tbl>
      <w:tblPr>
        <w:tblStyle w:val="Table94"/>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51</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jc w:val="both"/>
              <w:rPr>
                <w:rFonts w:ascii="Arial" w:hAnsi="Arial"/>
                <w:sz w:val="20"/>
                <w:szCs w:val="20"/>
              </w:rPr>
            </w:pPr>
            <w:r>
              <w:rPr>
                <w:rFonts w:eastAsia="Arial" w:cs="Arial" w:ascii="Arial" w:hAnsi="Arial"/>
                <w:b/>
                <w:color w:val="00000A"/>
                <w:sz w:val="20"/>
                <w:szCs w:val="20"/>
              </w:rPr>
              <w:t>(</w:t>
            </w:r>
            <w:r>
              <w:rPr>
                <w:rFonts w:eastAsia="Arial" w:cs="Arial" w:ascii="Arial" w:hAnsi="Arial"/>
                <w:b/>
                <w:sz w:val="20"/>
                <w:szCs w:val="20"/>
                <w:highlight w:val="yellow"/>
              </w:rPr>
              <w:t>Obs. As notas explicativas são meramente orientativas. Portanto, devem ser excluídas do edital a ser publicado)</w:t>
            </w:r>
          </w:p>
          <w:p>
            <w:pPr>
              <w:pStyle w:val="Normal1"/>
              <w:shd w:val="clear" w:fill="FFFF00"/>
              <w:spacing w:lineRule="auto" w:line="240" w:before="57" w:after="0"/>
              <w:jc w:val="both"/>
              <w:rPr>
                <w:rFonts w:ascii="Arial" w:hAnsi="Arial"/>
                <w:sz w:val="20"/>
                <w:szCs w:val="20"/>
              </w:rPr>
            </w:pPr>
            <w:r>
              <w:rPr>
                <w:rFonts w:eastAsia="Arial" w:cs="Arial" w:ascii="Arial" w:hAnsi="Arial"/>
                <w:sz w:val="20"/>
                <w:szCs w:val="20"/>
                <w:shd w:fill="auto" w:val="clear"/>
              </w:rPr>
              <w:t>A exigência de documentos que comprovem a capacidade operacional deve ser criteriosamente estudada em cada caso concreto, considerando as peculiaridades da obra ou serviço a ser contratado. Quando a Certidão de Acervo Operacional (CAO) não for suficiente para demonstrar a boa execução do objeto, é possível complementá-la com atestados emitidos por pessoas jurídicas de direito público, que trazem maior segurança, por refletirem experiências em contextos sob fiscalização rigorosa.</w:t>
            </w:r>
          </w:p>
          <w:p>
            <w:pPr>
              <w:pStyle w:val="Normal1"/>
              <w:shd w:val="clear" w:fill="FFFF00"/>
              <w:spacing w:lineRule="auto" w:line="240" w:before="57" w:after="0"/>
              <w:jc w:val="both"/>
              <w:rPr>
                <w:rFonts w:ascii="Arial" w:hAnsi="Arial"/>
                <w:sz w:val="20"/>
                <w:szCs w:val="20"/>
              </w:rPr>
            </w:pPr>
            <w:r>
              <w:rPr>
                <w:rFonts w:eastAsia="Arial" w:cs="Arial" w:ascii="Arial" w:hAnsi="Arial"/>
                <w:sz w:val="20"/>
                <w:szCs w:val="20"/>
                <w:shd w:fill="auto" w:val="clear"/>
              </w:rPr>
              <w:t>Alternativamente, a CAO pode ser substituída por outros documentos, como a apresentação de atestados emitidos por pessoa jurídica de direito público ou privado em conjunto com as Certidões de Acervo Técnico (CAT) e as Anotações de Responsabilidade Técnica (ART) correspondentes, possibilitando o cruzamento de dados técnicos, para uma análise mais confiável.</w:t>
            </w:r>
          </w:p>
          <w:p>
            <w:pPr>
              <w:pStyle w:val="Normal1"/>
              <w:shd w:val="clear" w:fill="FFFF00"/>
              <w:spacing w:lineRule="auto" w:line="240" w:before="57" w:after="0"/>
              <w:jc w:val="both"/>
              <w:rPr>
                <w:rFonts w:ascii="Arial" w:hAnsi="Arial"/>
                <w:sz w:val="20"/>
                <w:szCs w:val="20"/>
              </w:rPr>
            </w:pPr>
            <w:r>
              <w:rPr>
                <w:rFonts w:eastAsia="Arial" w:cs="Arial" w:ascii="Arial" w:hAnsi="Arial"/>
                <w:sz w:val="20"/>
                <w:szCs w:val="20"/>
                <w:shd w:fill="auto" w:val="clear"/>
              </w:rPr>
              <w:t>Dessa forma, poderá ser exigida, por exemplo, a apresentação de atestados emitidos por pessoa jurídica de direito público ou privado, acompanhado da CAO, ou, na ausência desta, de CAT e/ou ART.</w:t>
            </w:r>
          </w:p>
          <w:p>
            <w:pPr>
              <w:pStyle w:val="Normal1"/>
              <w:shd w:val="clear" w:fill="FFFF00"/>
              <w:spacing w:lineRule="auto" w:line="240" w:before="57" w:after="0"/>
              <w:jc w:val="both"/>
              <w:rPr>
                <w:rFonts w:ascii="Arial" w:hAnsi="Arial" w:eastAsia="Arial" w:cs="Arial"/>
                <w:sz w:val="20"/>
                <w:szCs w:val="20"/>
                <w:shd w:fill="81D41A" w:val="clear"/>
              </w:rPr>
            </w:pPr>
            <w:r>
              <w:rPr>
                <w:rFonts w:eastAsia="Arial" w:cs="Arial" w:ascii="Arial" w:hAnsi="Arial"/>
                <w:sz w:val="20"/>
                <w:szCs w:val="20"/>
                <w:shd w:fill="81D41A" w:val="clear"/>
              </w:rPr>
            </w:r>
          </w:p>
        </w:tc>
      </w:tr>
    </w:tbl>
    <w:p>
      <w:pPr>
        <w:pStyle w:val="Normal1"/>
        <w:widowControl w:val="false"/>
        <w:shd w:val="clear" w:fill="FFFFFF"/>
        <w:tabs>
          <w:tab w:val="clear" w:pos="720"/>
          <w:tab w:val="left" w:pos="1248" w:leader="none"/>
        </w:tabs>
        <w:spacing w:lineRule="auto" w:line="240" w:before="57" w:after="0"/>
        <w:ind w:hanging="0" w:left="397" w:right="0"/>
        <w:jc w:val="both"/>
        <w:rPr>
          <w:rFonts w:ascii="Arial" w:hAnsi="Arial"/>
          <w:position w:val="0"/>
          <w:sz w:val="20"/>
          <w:sz w:val="20"/>
          <w:szCs w:val="20"/>
          <w:vertAlign w:val="baseline"/>
        </w:rPr>
      </w:pPr>
      <w:r>
        <w:rPr>
          <w:rFonts w:ascii="Arial" w:hAnsi="Arial"/>
          <w:position w:val="0"/>
          <w:sz w:val="20"/>
          <w:sz w:val="20"/>
          <w:szCs w:val="20"/>
          <w:vertAlign w:val="baseline"/>
        </w:rPr>
      </w:r>
    </w:p>
    <w:tbl>
      <w:tblPr>
        <w:tblStyle w:val="Table95"/>
        <w:tblW w:w="9019" w:type="dxa"/>
        <w:jc w:val="left"/>
        <w:tblInd w:w="-55" w:type="dxa"/>
        <w:tblLayout w:type="fixed"/>
        <w:tblCellMar>
          <w:top w:w="0" w:type="dxa"/>
          <w:left w:w="108" w:type="dxa"/>
          <w:bottom w:w="0" w:type="dxa"/>
          <w:right w:w="108" w:type="dxa"/>
        </w:tblCellMar>
        <w:tblLook w:val="0000"/>
      </w:tblPr>
      <w:tblGrid>
        <w:gridCol w:w="9019"/>
      </w:tblGrid>
      <w:tr>
        <w:trPr/>
        <w:tc>
          <w:tcPr>
            <w:tcW w:w="9019"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57" w:after="0"/>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52</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w:t>
            </w: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57" w:after="0"/>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Para fins de qualificação técnica, desde que imprescindível ao objeto, poderá a Administração exigir os requisitos previstos no art. 67 da Lei Federal n.º 14.133/2021, por intermédio da inclusão dos itens pertinentes. É fundamental que a Administração observe que as exigências demasiadas poderão prejudicar a competitividade da licitação e ofender ao disposto no art. 37, XXI, da Constituição Federal. Por isso, compete à Administração examinar, diante do caso concreto, se o objeto da contratação demanda a exigência de todos os requisitos de habilitação requeridos.</w:t>
            </w:r>
          </w:p>
          <w:p>
            <w:pPr>
              <w:pStyle w:val="Normal1"/>
              <w:shd w:val="clear" w:fill="FFFF00"/>
              <w:spacing w:lineRule="auto" w:line="240" w:before="57" w:after="0"/>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 xml:space="preserve"> Para fins de qualificação técnica, a Administração deverá ficar restrita ao que estabelece o art. 67 da Lei Federal n.º 14.133/2021.</w:t>
            </w:r>
          </w:p>
        </w:tc>
      </w:tr>
    </w:tbl>
    <w:p>
      <w:pPr>
        <w:pStyle w:val="Normal1"/>
        <w:widowControl w:val="false"/>
        <w:shd w:val="clear" w:fill="FFFFFF"/>
        <w:tabs>
          <w:tab w:val="clear" w:pos="720"/>
          <w:tab w:val="left" w:pos="1248" w:leader="none"/>
        </w:tabs>
        <w:spacing w:lineRule="auto" w:line="240" w:before="57" w:after="0"/>
        <w:ind w:hanging="0" w:left="397" w:right="0"/>
        <w:jc w:val="both"/>
        <w:rPr>
          <w:rFonts w:ascii="Arial" w:hAnsi="Arial"/>
          <w:position w:val="0"/>
          <w:sz w:val="20"/>
          <w:sz w:val="20"/>
          <w:szCs w:val="20"/>
          <w:vertAlign w:val="baseline"/>
        </w:rPr>
      </w:pPr>
      <w:r>
        <w:rPr>
          <w:rFonts w:ascii="Arial" w:hAnsi="Arial"/>
          <w:position w:val="0"/>
          <w:sz w:val="20"/>
          <w:sz w:val="20"/>
          <w:szCs w:val="20"/>
          <w:vertAlign w:val="baseline"/>
        </w:rPr>
      </w:r>
    </w:p>
    <w:p>
      <w:pPr>
        <w:pStyle w:val="Normal1"/>
        <w:widowControl w:val="false"/>
        <w:numPr>
          <w:ilvl w:val="0"/>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shd w:fill="auto" w:val="clear"/>
          <w:vertAlign w:val="baseline"/>
        </w:rPr>
        <w:t>Declaração formal assinada pelo responsável técnico da licitante acerca do conhecimento pleno das condições e peculiaridades da contratação, conforme Anexo VII.</w:t>
      </w:r>
    </w:p>
    <w:p>
      <w:pPr>
        <w:pStyle w:val="Normal1"/>
        <w:widowControl w:val="false"/>
        <w:numPr>
          <w:ilvl w:val="1"/>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u w:val="single"/>
          <w:vertAlign w:val="baseline"/>
        </w:rPr>
        <w:t>A Declaração é um documento indispensável a ser entregue, sendo que a sua ausência inabilitará o Licitante.</w:t>
      </w:r>
    </w:p>
    <w:p>
      <w:pPr>
        <w:pStyle w:val="Normal1"/>
        <w:widowControl w:val="false"/>
        <w:numPr>
          <w:ilvl w:val="0"/>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vistoria técnica terá por finalidade:</w:t>
      </w:r>
    </w:p>
    <w:p>
      <w:pPr>
        <w:pStyle w:val="Normal1"/>
        <w:widowControl w:val="false"/>
        <w:numPr>
          <w:ilvl w:val="1"/>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Conhecimento das condições locais onde será prestado o serviço, para efetuar as medições e conferências que se fizerem necessárias para a correta elaboração de sua proposta, bem como para solicitação de outros esclarecimentos que julgarem necessários.</w:t>
      </w:r>
    </w:p>
    <w:p>
      <w:pPr>
        <w:pStyle w:val="Normal1"/>
        <w:widowControl w:val="false"/>
        <w:numPr>
          <w:ilvl w:val="1"/>
          <w:numId w:val="1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Alegações posteriores relacionadas com o desconhecimento das condições locais pertinentes à execução do objeto não serão argumentos válidos para reclamações futuras, nem desobrigam a execução do serviço. Todas as ocorrências pertinentes ao escopo dos serviços, a partir da assinatura do contrato, serão de responsabilidade do contratado.</w:t>
      </w:r>
    </w:p>
    <w:p>
      <w:pPr>
        <w:pStyle w:val="Normal1"/>
        <w:widowControl w:val="false"/>
        <w:shd w:val="clear" w:fill="FFFFFF"/>
        <w:tabs>
          <w:tab w:val="clear" w:pos="720"/>
          <w:tab w:val="left" w:pos="1085" w:leader="none"/>
        </w:tabs>
        <w:spacing w:lineRule="auto" w:line="240" w:before="57" w:after="0"/>
        <w:ind w:hanging="0" w:left="397" w:right="0"/>
        <w:jc w:val="both"/>
        <w:rPr>
          <w:rFonts w:ascii="Arial" w:hAnsi="Arial" w:eastAsia="Arial" w:cs="Arial"/>
          <w:position w:val="0"/>
          <w:sz w:val="20"/>
          <w:sz w:val="20"/>
          <w:szCs w:val="20"/>
          <w:highlight w:val="white"/>
          <w:vertAlign w:val="baseline"/>
        </w:rPr>
      </w:pPr>
      <w:r>
        <w:rPr>
          <w:rFonts w:eastAsia="Arial" w:cs="Arial" w:ascii="Arial" w:hAnsi="Arial"/>
          <w:position w:val="0"/>
          <w:sz w:val="20"/>
          <w:sz w:val="20"/>
          <w:szCs w:val="20"/>
          <w:highlight w:val="white"/>
          <w:vertAlign w:val="baseline"/>
        </w:rPr>
      </w:r>
    </w:p>
    <w:p>
      <w:pPr>
        <w:pStyle w:val="Normal1"/>
        <w:widowControl w:val="false"/>
        <w:shd w:val="clear" w:fill="FFFFFF"/>
        <w:tabs>
          <w:tab w:val="clear" w:pos="720"/>
          <w:tab w:val="left" w:pos="630" w:leader="none"/>
        </w:tabs>
        <w:spacing w:lineRule="auto" w:line="240" w:before="57" w:after="0"/>
        <w:ind w:hanging="0" w:left="63"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1.5.1.2 CAPACIDADE TÉCNICA PROFISSIONAL</w:t>
      </w:r>
    </w:p>
    <w:p>
      <w:pPr>
        <w:pStyle w:val="Normal1"/>
        <w:widowControl w:val="false"/>
        <w:shd w:val="clear" w:fill="FFFFFF"/>
        <w:tabs>
          <w:tab w:val="clear" w:pos="720"/>
          <w:tab w:val="left" w:pos="1134"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documentação relativa à Capacidade Técnica Profissional consistirá em:</w:t>
      </w:r>
    </w:p>
    <w:p>
      <w:pPr>
        <w:pStyle w:val="Normal1"/>
        <w:widowControl w:val="false"/>
        <w:numPr>
          <w:ilvl w:val="0"/>
          <w:numId w:val="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declaração de Responsabilidade Técnica, conform</w:t>
      </w:r>
      <w:r>
        <w:rPr>
          <w:rFonts w:eastAsia="Arial" w:cs="Arial" w:ascii="Arial" w:hAnsi="Arial"/>
          <w:b w:val="false"/>
          <w:i w:val="false"/>
          <w:caps w:val="false"/>
          <w:smallCaps w:val="false"/>
          <w:strike w:val="false"/>
          <w:dstrike w:val="false"/>
          <w:position w:val="0"/>
          <w:sz w:val="20"/>
          <w:sz w:val="20"/>
          <w:szCs w:val="20"/>
          <w:vertAlign w:val="baseline"/>
        </w:rPr>
        <w:t>e Anexo V.</w:t>
      </w:r>
    </w:p>
    <w:p>
      <w:pPr>
        <w:pStyle w:val="Normal1"/>
        <w:widowControl w:val="false"/>
        <w:numPr>
          <w:ilvl w:val="0"/>
          <w:numId w:val="1"/>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comprovação do(s) profissional(is) de nível superior, ou outro devidamente reconhecido pela entidade competente, detentor(es) do(s) Acervo(s) de Responsabilidade Técnica pela execução dos serviços constantes</w:t>
      </w:r>
      <w:r>
        <w:rPr>
          <w:rFonts w:eastAsia="Arial" w:cs="Arial" w:ascii="Arial" w:hAnsi="Arial"/>
          <w:b w:val="false"/>
          <w:i w:val="false"/>
          <w:caps w:val="false"/>
          <w:smallCaps w:val="false"/>
          <w:strike w:val="false"/>
          <w:dstrike w:val="false"/>
          <w:position w:val="0"/>
          <w:sz w:val="20"/>
          <w:sz w:val="20"/>
          <w:szCs w:val="20"/>
          <w:vertAlign w:val="baseline"/>
        </w:rPr>
        <w:t xml:space="preserve"> na al</w:t>
      </w:r>
      <w:r>
        <w:rPr>
          <w:rFonts w:eastAsia="Arial" w:cs="Arial" w:ascii="Arial" w:hAnsi="Arial"/>
          <w:b w:val="false"/>
          <w:i w:val="false"/>
          <w:caps w:val="false"/>
          <w:smallCaps w:val="false"/>
          <w:strike w:val="false"/>
          <w:dstrike w:val="false"/>
          <w:position w:val="0"/>
          <w:sz w:val="20"/>
          <w:sz w:val="20"/>
          <w:szCs w:val="20"/>
          <w:highlight w:val="white"/>
          <w:vertAlign w:val="baseline"/>
        </w:rPr>
        <w:t>ínea “b” d</w:t>
      </w:r>
      <w:r>
        <w:rPr>
          <w:rFonts w:eastAsia="Arial" w:cs="Arial" w:ascii="Arial" w:hAnsi="Arial"/>
          <w:b w:val="false"/>
          <w:i w:val="false"/>
          <w:caps w:val="false"/>
          <w:smallCaps w:val="false"/>
          <w:strike w:val="false"/>
          <w:dstrike w:val="false"/>
          <w:position w:val="0"/>
          <w:sz w:val="20"/>
          <w:sz w:val="20"/>
          <w:szCs w:val="20"/>
          <w:vertAlign w:val="baseline"/>
        </w:rPr>
        <w:t>o item 1.5.1.1,</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com a comprovação de pertencer ao quadro permanente do licitante, conforme abaixo:</w:t>
      </w:r>
    </w:p>
    <w:p>
      <w:pPr>
        <w:pStyle w:val="Normal1"/>
        <w:widowControl w:val="false"/>
        <w:numPr>
          <w:ilvl w:val="1"/>
          <w:numId w:val="6"/>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highlight w:val="white"/>
          <w:vertAlign w:val="baseline"/>
        </w:rPr>
        <w:t>Profissional Engenheiro Civil ou Arquiteto e Urbanista detentor do Acervo de Responsabilidade Técnica pela execução dos serviços constantes na alíne</w:t>
      </w:r>
      <w:r>
        <w:rPr>
          <w:rFonts w:eastAsia="Arial" w:cs="Arial" w:ascii="Arial" w:hAnsi="Arial"/>
          <w:b/>
          <w:i w:val="false"/>
          <w:caps w:val="false"/>
          <w:smallCaps w:val="false"/>
          <w:strike w:val="false"/>
          <w:dstrike w:val="false"/>
          <w:position w:val="0"/>
          <w:sz w:val="20"/>
          <w:sz w:val="20"/>
          <w:szCs w:val="20"/>
          <w:vertAlign w:val="baseline"/>
        </w:rPr>
        <w:t>a “b.1” do item 1.5.1.1.</w:t>
      </w:r>
    </w:p>
    <w:p>
      <w:pPr>
        <w:pStyle w:val="Normal1"/>
        <w:widowControl w:val="false"/>
        <w:numPr>
          <w:ilvl w:val="1"/>
          <w:numId w:val="6"/>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Profissional Engenheiro Eletricista detentor do Acervo de Responsabilidade Técnica pela execução dos serviços constantes na alínea “b.2” do item 1.5.1.1.</w:t>
      </w:r>
    </w:p>
    <w:p>
      <w:pPr>
        <w:pStyle w:val="Normal1"/>
        <w:widowControl w:val="false"/>
        <w:numPr>
          <w:ilvl w:val="1"/>
          <w:numId w:val="6"/>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Profissional Engenheiro Mecânico detentor do Acervo de Responsabilidade Técnica pela execução dos serviços constantes na alínea “b.3” do item 1.5.1.1.</w:t>
      </w:r>
    </w:p>
    <w:p>
      <w:pPr>
        <w:pStyle w:val="Normal1"/>
        <w:widowControl w:val="false"/>
        <w:numPr>
          <w:ilvl w:val="0"/>
          <w:numId w:val="2"/>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comprovação de pertencer ao quadro permanente da empresa deverá ser feita mediante uma das seguintes formas:</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Carteira de Trabalho;</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do CREA;</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Certidão do CAU;</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Social;</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de prestação de serviços;</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Contrato de Trabalho registrado na DRT;</w:t>
      </w:r>
    </w:p>
    <w:p>
      <w:pPr>
        <w:pStyle w:val="Normal1"/>
        <w:widowControl w:val="false"/>
        <w:numPr>
          <w:ilvl w:val="1"/>
          <w:numId w:val="2"/>
        </w:numPr>
        <w:shd w:val="clear" w:fill="FFFFFF"/>
        <w:tabs>
          <w:tab w:val="clear" w:pos="720"/>
          <w:tab w:val="left" w:pos="1390"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Termo, por meio do qual o(s) profissional(is) assuma(m) a responsabilidade técnica pela obra ou serviço licitado e o compromisso de integrar(em) o quadro técnico da empresa, no caso do objeto contratual vir a ser a esta adjudicado. O presente Termo pode ser suprido pela assinatura no </w:t>
      </w:r>
      <w:r>
        <w:rPr>
          <w:rFonts w:eastAsia="Arial" w:cs="Arial" w:ascii="Arial" w:hAnsi="Arial"/>
          <w:b w:val="false"/>
          <w:i w:val="false"/>
          <w:caps w:val="false"/>
          <w:smallCaps w:val="false"/>
          <w:strike w:val="false"/>
          <w:dstrike w:val="false"/>
          <w:position w:val="0"/>
          <w:sz w:val="20"/>
          <w:sz w:val="20"/>
          <w:szCs w:val="20"/>
          <w:vertAlign w:val="baseline"/>
        </w:rPr>
        <w:t>Anexo V do(s</w:t>
      </w:r>
      <w:r>
        <w:rPr>
          <w:rFonts w:eastAsia="Arial" w:cs="Arial" w:ascii="Arial" w:hAnsi="Arial"/>
          <w:b w:val="false"/>
          <w:i w:val="false"/>
          <w:caps w:val="false"/>
          <w:smallCaps w:val="false"/>
          <w:strike w:val="false"/>
          <w:dstrike w:val="false"/>
          <w:position w:val="0"/>
          <w:sz w:val="20"/>
          <w:sz w:val="20"/>
          <w:szCs w:val="20"/>
          <w:highlight w:val="white"/>
          <w:vertAlign w:val="baseline"/>
        </w:rPr>
        <w:t>) profissional(is) que será(ão) responsável(is) pela obra.</w:t>
      </w:r>
    </w:p>
    <w:p>
      <w:pPr>
        <w:pStyle w:val="Normal1"/>
        <w:widowControl w:val="false"/>
        <w:numPr>
          <w:ilvl w:val="0"/>
          <w:numId w:val="2"/>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 profissional(is) indicado(s) pelo Licitante para fins de comprovação da capacitação deverá(ão) participar da obra ou serviço objeto da licitação.</w:t>
      </w:r>
    </w:p>
    <w:p>
      <w:pPr>
        <w:pStyle w:val="Normal1"/>
        <w:widowControl w:val="false"/>
        <w:numPr>
          <w:ilvl w:val="0"/>
          <w:numId w:val="2"/>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 </w:t>
      </w: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Deverá ser apresentado, no mínimo, um acervo técnico desse(s) profissional(is) devidamente acervado(s) pelo CREA e/ou pelo CAU, com comprovação de execução dos serviços constantes na </w:t>
      </w:r>
      <w:r>
        <w:rPr>
          <w:rFonts w:eastAsia="Arial" w:cs="Arial" w:ascii="Arial" w:hAnsi="Arial"/>
          <w:b w:val="false"/>
          <w:i w:val="false"/>
          <w:caps w:val="false"/>
          <w:smallCaps w:val="false"/>
          <w:strike w:val="false"/>
          <w:dstrike w:val="false"/>
          <w:position w:val="0"/>
          <w:sz w:val="20"/>
          <w:sz w:val="20"/>
          <w:szCs w:val="20"/>
          <w:vertAlign w:val="baseline"/>
        </w:rPr>
        <w:t>alínea “b” do item 1.5.1.1.</w:t>
      </w:r>
    </w:p>
    <w:p>
      <w:pPr>
        <w:pStyle w:val="Normal1"/>
        <w:widowControl w:val="false"/>
        <w:numPr>
          <w:ilvl w:val="0"/>
          <w:numId w:val="2"/>
        </w:numPr>
        <w:shd w:val="clear" w:fill="FFFFFF"/>
        <w:tabs>
          <w:tab w:val="clear" w:pos="720"/>
          <w:tab w:val="left" w:pos="1248" w:leader="none"/>
        </w:tabs>
        <w:spacing w:lineRule="auto" w:line="240" w:before="57" w:after="0"/>
        <w:ind w:hanging="0" w:left="39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Apresentar a(s) Certidão(ões) de Registro de Pessoa Física com a regularidade do(s) profissional(is) indicado(s) pelo Licitante junto ao Conselho Regional de Engenharia e Agronomia – CREA e/ou Conselho de Arquitetura e Urbanismo – CAU, dentro de seu prazo de validade.</w:t>
      </w:r>
    </w:p>
    <w:p>
      <w:pPr>
        <w:pStyle w:val="Normal1"/>
        <w:widowControl w:val="false"/>
        <w:shd w:val="clear" w:fill="FFFFFF"/>
        <w:tabs>
          <w:tab w:val="clear" w:pos="720"/>
          <w:tab w:val="left" w:pos="993" w:leader="none"/>
        </w:tabs>
        <w:spacing w:lineRule="auto" w:line="240" w:before="57" w:after="0"/>
        <w:ind w:hanging="0"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Demais documentos que o licitante arrematante deverá entregar:</w:t>
      </w:r>
    </w:p>
    <w:p>
      <w:pPr>
        <w:pStyle w:val="Normal1"/>
        <w:widowControl w:val="false"/>
        <w:numPr>
          <w:ilvl w:val="2"/>
          <w:numId w:val="5"/>
        </w:numPr>
        <w:shd w:val="clear" w:fill="FFFFFF"/>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Cumprimento de Exigências Legais e Constituciona</w:t>
      </w:r>
      <w:r>
        <w:rPr>
          <w:rFonts w:eastAsia="Arial" w:cs="Arial" w:ascii="Arial" w:hAnsi="Arial"/>
          <w:b w:val="false"/>
          <w:i w:val="false"/>
          <w:caps w:val="false"/>
          <w:smallCaps w:val="false"/>
          <w:strike w:val="false"/>
          <w:dstrike w:val="false"/>
          <w:position w:val="0"/>
          <w:sz w:val="20"/>
          <w:sz w:val="20"/>
          <w:szCs w:val="20"/>
          <w:vertAlign w:val="baseline"/>
        </w:rPr>
        <w:t>is (Anexo VI).</w:t>
      </w:r>
    </w:p>
    <w:p>
      <w:pPr>
        <w:pStyle w:val="Normal1"/>
        <w:widowControl w:val="false"/>
        <w:numPr>
          <w:ilvl w:val="2"/>
          <w:numId w:val="5"/>
        </w:numPr>
        <w:shd w:val="clear" w:fill="FFFFFF"/>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que o Licitante se compromete a comprovar, quando da assinatura do contrato, os vínculos, empregatícios ou contratuais, da equipe técnica, no caso de ser a vencedora da presente licitaçã</w:t>
      </w:r>
      <w:r>
        <w:rPr>
          <w:rFonts w:eastAsia="Arial" w:cs="Arial" w:ascii="Arial" w:hAnsi="Arial"/>
          <w:b w:val="false"/>
          <w:i w:val="false"/>
          <w:caps w:val="false"/>
          <w:smallCaps w:val="false"/>
          <w:strike w:val="false"/>
          <w:dstrike w:val="false"/>
          <w:position w:val="0"/>
          <w:sz w:val="20"/>
          <w:sz w:val="20"/>
          <w:szCs w:val="20"/>
          <w:vertAlign w:val="baseline"/>
        </w:rPr>
        <w:t>o (Anexo V).</w:t>
      </w:r>
    </w:p>
    <w:p>
      <w:pPr>
        <w:pStyle w:val="Normal1"/>
        <w:widowControl w:val="false"/>
        <w:numPr>
          <w:ilvl w:val="2"/>
          <w:numId w:val="5"/>
        </w:numPr>
        <w:shd w:val="clear" w:fill="FFFFFF"/>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Declaração de que não possui, em seu quadro funcional, menores de dezoito anos em trabalho noturno, perigoso ou insalubre, nem menores de dezesseis anos, em qualquer trabalho, salvo na condição de aprendiz, a partir de quatorze anos (Lei Federal n.º 9.854 de 27/10/1999)</w:t>
      </w:r>
      <w:r>
        <w:rPr>
          <w:rFonts w:eastAsia="Arial" w:cs="Arial" w:ascii="Arial" w:hAnsi="Arial"/>
          <w:b w:val="false"/>
          <w:i w:val="false"/>
          <w:caps w:val="false"/>
          <w:smallCaps w:val="false"/>
          <w:strike w:val="false"/>
          <w:dstrike w:val="false"/>
          <w:position w:val="0"/>
          <w:sz w:val="20"/>
          <w:sz w:val="20"/>
          <w:szCs w:val="20"/>
          <w:vertAlign w:val="baseline"/>
        </w:rPr>
        <w:t xml:space="preserve"> (Anexo VI).</w:t>
      </w:r>
    </w:p>
    <w:p>
      <w:pPr>
        <w:pStyle w:val="Normal1"/>
        <w:widowControl w:val="false"/>
        <w:numPr>
          <w:ilvl w:val="2"/>
          <w:numId w:val="5"/>
        </w:numPr>
        <w:shd w:val="clear" w:fill="FFFFFF"/>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Os documentos solicitados acima, quando couber, devem estar devidamente assinados, quando necessário.</w:t>
      </w:r>
    </w:p>
    <w:p>
      <w:pPr>
        <w:pStyle w:val="Normal1"/>
        <w:widowControl w:val="false"/>
        <w:numPr>
          <w:ilvl w:val="2"/>
          <w:numId w:val="5"/>
        </w:numPr>
        <w:shd w:val="clear" w:fill="FFFFFF"/>
        <w:tabs>
          <w:tab w:val="clear" w:pos="720"/>
          <w:tab w:val="left" w:pos="1134" w:leader="none"/>
        </w:tabs>
        <w:spacing w:lineRule="auto" w:line="240" w:before="57" w:after="0"/>
        <w:ind w:hanging="504" w:left="567"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 xml:space="preserve">Declaração de Compromisso de Utilização de Produtos e Subprodutos de Madeira e de Gerenciamento de Resíduos da Construção </w:t>
      </w:r>
      <w:r>
        <w:rPr>
          <w:rFonts w:eastAsia="Arial" w:cs="Arial" w:ascii="Arial" w:hAnsi="Arial"/>
          <w:b w:val="false"/>
          <w:i w:val="false"/>
          <w:caps w:val="false"/>
          <w:smallCaps w:val="false"/>
          <w:strike w:val="false"/>
          <w:dstrike w:val="false"/>
          <w:position w:val="0"/>
          <w:sz w:val="20"/>
          <w:sz w:val="20"/>
          <w:szCs w:val="20"/>
          <w:vertAlign w:val="baseline"/>
        </w:rPr>
        <w:t>Civil (Anexo VIII).</w:t>
      </w:r>
    </w:p>
    <w:p>
      <w:pPr>
        <w:pStyle w:val="Normal1"/>
        <w:widowControl w:val="false"/>
        <w:numPr>
          <w:ilvl w:val="0"/>
          <w:numId w:val="3"/>
        </w:numPr>
        <w:shd w:val="clear" w:fill="FFFFFF"/>
        <w:tabs>
          <w:tab w:val="clear" w:pos="720"/>
          <w:tab w:val="left" w:pos="1475" w:leader="none"/>
        </w:tabs>
        <w:spacing w:lineRule="auto" w:line="240" w:before="57" w:after="0"/>
        <w:ind w:hanging="0" w:left="62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pPr>
        <w:pStyle w:val="Normal1"/>
        <w:widowControl w:val="false"/>
        <w:numPr>
          <w:ilvl w:val="0"/>
          <w:numId w:val="3"/>
        </w:numPr>
        <w:shd w:val="clear" w:fill="FFFFFF"/>
        <w:tabs>
          <w:tab w:val="clear" w:pos="720"/>
          <w:tab w:val="left" w:pos="1475" w:leader="none"/>
        </w:tabs>
        <w:spacing w:lineRule="auto" w:line="240" w:before="57" w:after="0"/>
        <w:ind w:hanging="0" w:left="624" w:right="0"/>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highlight w:val="white"/>
          <w:vertAlign w:val="baseline"/>
        </w:rPr>
        <w:t>A contratada fica obrigada a utilizar produtos ou subprodutos de madeira de origem exótica ou nativa que tenham procedência legal, conforme Decreto Estadual n.º 4.889, de 31 de maio de 2005.</w:t>
      </w:r>
    </w:p>
    <w:p>
      <w:pPr>
        <w:pStyle w:val="Normal1"/>
        <w:shd w:val="clear" w:fill="FFFFFF"/>
        <w:spacing w:lineRule="auto" w:line="240" w:before="57" w:after="0"/>
        <w:ind w:hanging="0" w:left="-10"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bl>
      <w:tblPr>
        <w:tblStyle w:val="Table96"/>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 xml:space="preserve">Nota explicativa </w:t>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fldChar w:fldCharType="begin"/>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instrText xml:space="preserve"> SEQ Desenho \* ARABIC </w:instrTex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separate"/>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t>53</w:t>
            </w:r>
            <w:r>
              <w:rPr>
                <w:smallCaps w:val="false"/>
                <w:caps w:val="false"/>
                <w:dstrike w:val="false"/>
                <w:strike w:val="false"/>
                <w:vertAlign w:val="baseline"/>
                <w:position w:val="0"/>
                <w:sz w:val="20"/>
                <w:sz w:val="20"/>
                <w:i w:val="false"/>
                <w:u w:val="none"/>
                <w:b/>
                <w:shd w:fill="auto" w:val="clear"/>
                <w:szCs w:val="20"/>
                <w:rFonts w:eastAsia="Arial" w:cs="Arial" w:ascii="Arial" w:hAnsi="Arial"/>
                <w:color w:val="FF0000"/>
              </w:rPr>
              <w:fldChar w:fldCharType="end"/>
            </w:r>
            <w:r>
              <w:rPr>
                <w:rFonts w:eastAsia="Arial" w:cs="Arial" w:ascii="Arial" w:hAnsi="Arial"/>
                <w:b/>
                <w:i w:val="false"/>
                <w:caps w:val="false"/>
                <w:smallCaps w:val="false"/>
                <w:strike w:val="false"/>
                <w:dstrike w:val="false"/>
                <w:color w:val="FF0000"/>
                <w:position w:val="0"/>
                <w:sz w:val="20"/>
                <w:sz w:val="20"/>
                <w:szCs w:val="20"/>
                <w:u w:val="none"/>
                <w:shd w:fill="auto" w:val="clear"/>
                <w:vertAlign w:val="baseline"/>
              </w:rPr>
              <w:t>:</w:t>
            </w:r>
          </w:p>
          <w:p>
            <w:pPr>
              <w:pStyle w:val="Normal1"/>
              <w:shd w:val="clear" w:fill="FFFF00"/>
              <w:spacing w:lineRule="auto" w:line="240" w:before="0" w:after="57"/>
              <w:ind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 setor técnico deverá justificar a exigência dos documentos de qualificação técnica e/ou a dispensa de exigência de Atestado de capacidade técnica.</w:t>
            </w:r>
          </w:p>
          <w:p>
            <w:pPr>
              <w:pStyle w:val="Normal1"/>
              <w:shd w:val="clear" w:fill="FFFF00"/>
              <w:spacing w:lineRule="auto" w:line="240" w:before="0" w:after="57"/>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Observe que as exigências demasiadas poderão prejudicar a competitividade da licitação e ofender ao disposto no inciso XXI do art. 37 da Constituição Federal.</w:t>
            </w:r>
          </w:p>
          <w:p>
            <w:pPr>
              <w:pStyle w:val="Normal1"/>
              <w:shd w:val="clear" w:fill="FFFF00"/>
              <w:spacing w:lineRule="auto" w:line="240" w:before="0" w:after="57"/>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É indispensável que a Administração examine, no caso concreto, se o objeto da contratação demanda a exigência de todos os requisitos de habilitação apresentados nesse modelo, levando-se em consideração o vulto e/ou a complexidade do objeto.</w:t>
            </w:r>
          </w:p>
          <w:p>
            <w:pPr>
              <w:pStyle w:val="Normal1"/>
              <w:shd w:val="clear" w:fill="FFFF00"/>
              <w:spacing w:lineRule="auto" w:line="240" w:before="0" w:after="57"/>
              <w:ind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pPr>
              <w:pStyle w:val="Normal1"/>
              <w:shd w:val="clear" w:fill="FFFF00"/>
              <w:spacing w:lineRule="auto" w:line="240" w:before="0" w:after="57"/>
              <w:ind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keepNext w:val="false"/>
              <w:keepLines w:val="false"/>
              <w:widowControl/>
              <w:shd w:val="clear" w:fill="FFFF00"/>
              <w:spacing w:lineRule="auto" w:line="240" w:before="0" w:after="57"/>
              <w:ind w:hanging="0" w:left="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Conforme estabelece o artigo 67, §§ 1º e 2º, da Lei nº 14.133, de 2021:</w:t>
            </w:r>
          </w:p>
          <w:p>
            <w:pPr>
              <w:pStyle w:val="Normal1"/>
              <w:keepNext w:val="false"/>
              <w:keepLines w:val="false"/>
              <w:widowControl/>
              <w:shd w:val="clear" w:fill="FFFF00"/>
              <w:spacing w:lineRule="auto" w:line="240" w:before="0" w:after="57"/>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1º A exigência de atestados será restrita às parcelas de maior relevância ou valor significativo do objeto da licitação, assim consideradas as que tenham valor individual igual ou superior a 4% (quatro por cento) do valor total estimado da contratação.</w:t>
            </w:r>
            <w:bookmarkStart w:id="24" w:name="bookmark=id.3whwml4"/>
            <w:bookmarkEnd w:id="24"/>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br/>
            </w:r>
          </w:p>
          <w:p>
            <w:pPr>
              <w:pStyle w:val="Normal1"/>
              <w:keepNext w:val="false"/>
              <w:keepLines w:val="false"/>
              <w:widowControl/>
              <w:shd w:val="clear" w:fill="FFFF00"/>
              <w:spacing w:lineRule="auto" w:line="240" w:before="0" w:after="57"/>
              <w:ind w:hanging="0" w:left="360"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2º Observado o disposto no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caput</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pPr>
              <w:pStyle w:val="Normal1"/>
              <w:shd w:val="clear" w:fill="FFFF00"/>
              <w:spacing w:lineRule="auto" w:line="240" w:before="0" w:after="57"/>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spacing w:lineRule="auto" w:line="240" w:before="0" w:after="200"/>
              <w:ind w:right="-1"/>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tc>
      </w:tr>
    </w:tbl>
    <w:p>
      <w:pPr>
        <w:pStyle w:val="Normal1"/>
        <w:shd w:val="clear" w:fill="FFFFFF"/>
        <w:spacing w:lineRule="auto" w:line="240" w:before="57" w:after="0"/>
        <w:ind w:hanging="0" w:left="-10"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spacing w:lineRule="auto" w:line="240" w:before="57" w:after="0"/>
        <w:ind w:hanging="0" w:left="-21"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1.6 </w:t>
      </w: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COMPROVANTE DA CONDIÇÃO DE ME OU EPP</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 xml:space="preserve">, se for o caso: Certidão Simplificada original da Junta Comercial da sede do licitante ou documento equivalente, </w:t>
      </w:r>
      <w:r>
        <w:rPr>
          <w:rFonts w:eastAsia="Arial" w:cs="Arial" w:ascii="Arial" w:hAnsi="Arial"/>
          <w:b/>
          <w:i w:val="false"/>
          <w:caps w:val="false"/>
          <w:smallCaps w:val="false"/>
          <w:strike w:val="false"/>
          <w:dstrike w:val="false"/>
          <w:color w:val="000000"/>
          <w:position w:val="0"/>
          <w:sz w:val="20"/>
          <w:sz w:val="20"/>
          <w:szCs w:val="20"/>
          <w:highlight w:val="white"/>
          <w:u w:val="single"/>
          <w:vertAlign w:val="baseline"/>
        </w:rPr>
        <w:t>além de Declaração escrit</w:t>
      </w:r>
      <w:r>
        <w:rPr>
          <w:rFonts w:eastAsia="Arial" w:cs="Arial" w:ascii="Arial" w:hAnsi="Arial"/>
          <w:b/>
          <w:i w:val="false"/>
          <w:caps w:val="false"/>
          <w:smallCaps w:val="false"/>
          <w:strike w:val="false"/>
          <w:dstrike w:val="false"/>
          <w:position w:val="0"/>
          <w:sz w:val="20"/>
          <w:sz w:val="20"/>
          <w:szCs w:val="20"/>
          <w:u w:val="single"/>
          <w:vertAlign w:val="baseline"/>
        </w:rPr>
        <w:t>a (Anexo IV)</w:t>
      </w:r>
      <w:r>
        <w:rPr>
          <w:rFonts w:eastAsia="Arial" w:cs="Arial" w:ascii="Arial" w:hAnsi="Arial"/>
          <w:b w:val="false"/>
          <w:i w:val="false"/>
          <w:caps w:val="false"/>
          <w:smallCaps w:val="false"/>
          <w:strike w:val="false"/>
          <w:dstrike w:val="false"/>
          <w:position w:val="0"/>
          <w:sz w:val="20"/>
          <w:sz w:val="20"/>
          <w:szCs w:val="20"/>
          <w:vertAlign w:val="baseline"/>
        </w:rPr>
        <w:t>, sob as penas da lei, de que cumpre os requisitos legais de qualificação da condição d</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e microempresa, de empresa de pequeno porte ou microempreendedor individual, estando apto a usufruir dos benefícios previstos nos art. 42 a art. 49 da Lei Complementar Federal n.º 123, de 2006, bem como o Demonstrativo de Resultado do Exercício – DRE, a que se refere a Resolução n.º 1.418, de 2012, de Conselho Federal de Contabilidade – CFC, ou outra norma que vier a substituir (art. 12, parágrafo único, do Decreto Estadual n.º 2.474, de 2015).</w:t>
      </w:r>
    </w:p>
    <w:p>
      <w:pPr>
        <w:pStyle w:val="Normal1"/>
        <w:shd w:val="clear" w:fill="FFFFFF"/>
        <w:spacing w:lineRule="auto" w:line="240" w:before="57" w:after="0"/>
        <w:ind w:firstLine="13" w:left="-1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De acordo com o art. 43, §1°, da Lei Complementar Federal n° 123, de 2006, havendo alguma restrição na comprovação da regularidade fiscal das microempresas e empresas de pequeno porte,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pPr>
        <w:pStyle w:val="Normal1"/>
        <w:shd w:val="clear" w:fill="FFFFFF"/>
        <w:spacing w:lineRule="auto" w:line="240" w:before="57" w:after="0"/>
        <w:ind w:firstLine="13" w:left="-13"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1.6.1.1</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A prorrogação do prazo previsto no item anterior deverá ser concedida pela Administração sempre que requerida pelo licitante, salvo na hipótese de urgência da contratação, devidamente justificada.</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 </w:t>
      </w:r>
      <w:r>
        <w:rPr>
          <w:rFonts w:eastAsia="Arial" w:cs="Arial" w:ascii="Arial" w:hAnsi="Arial"/>
          <w:b w:val="false"/>
          <w:i w:val="false"/>
          <w:caps w:val="false"/>
          <w:smallCaps w:val="false"/>
          <w:strike w:val="false"/>
          <w:dstrike w:val="false"/>
          <w:color w:val="000000"/>
          <w:position w:val="0"/>
          <w:sz w:val="20"/>
          <w:sz w:val="20"/>
          <w:szCs w:val="20"/>
          <w:vertAlign w:val="baseline"/>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1.8</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Na hipótese do item 1.6.1, as microempresas e as empresas de pequeno porte deverão apresentar toda a documentação exigida para efeito de comprovação de regularidade fiscal e trabalhista, mesmo que esta apresente alguma restrição.</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1.9</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Eventuais informações/certidões vencidas no registro cadastral deverão ser supridas pela apresentação do respectivo documento atualizado.</w:t>
      </w:r>
    </w:p>
    <w:p>
      <w:pPr>
        <w:pStyle w:val="Normal1"/>
        <w:shd w:val="clear" w:fill="FFFFFF"/>
        <w:spacing w:lineRule="auto" w:line="240" w:before="57" w:after="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 xml:space="preserve">1.10 </w:t>
      </w:r>
      <w:r>
        <w:rPr>
          <w:rFonts w:eastAsia="Arial" w:cs="Arial" w:ascii="Arial" w:hAnsi="Arial"/>
          <w:b w:val="false"/>
          <w:i w:val="false"/>
          <w:caps w:val="false"/>
          <w:smallCaps w:val="false"/>
          <w:strike w:val="false"/>
          <w:dstrike w:val="false"/>
          <w:color w:val="000000"/>
          <w:position w:val="0"/>
          <w:sz w:val="20"/>
          <w:sz w:val="20"/>
          <w:szCs w:val="20"/>
          <w:highlight w:val="white"/>
          <w:vertAlign w:val="baseline"/>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apresentada pela MATRIZ, e o fornecimento for através de sua filial, o CNPJ da filial deverá constar da proposta.</w:t>
      </w:r>
    </w:p>
    <w:p>
      <w:pPr>
        <w:pStyle w:val="Normal1"/>
        <w:shd w:val="clear" w:fill="FFFFFF"/>
        <w:tabs>
          <w:tab w:val="clear" w:pos="720"/>
          <w:tab w:val="left" w:pos="274" w:leader="none"/>
        </w:tabs>
        <w:spacing w:lineRule="auto" w:line="240" w:before="57" w:after="0"/>
        <w:ind w:hanging="0" w:left="-10" w:right="0"/>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tabs>
          <w:tab w:val="clear" w:pos="720"/>
          <w:tab w:val="left" w:pos="274" w:leader="none"/>
        </w:tabs>
        <w:spacing w:lineRule="auto" w:line="240" w:before="57" w:after="0"/>
        <w:ind w:hanging="0" w:left="-10"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274" w:leader="none"/>
        </w:tabs>
        <w:spacing w:lineRule="auto" w:line="240" w:before="57" w:after="0"/>
        <w:ind w:hanging="0" w:left="-10" w:right="0"/>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r>
        <w:br w:type="page"/>
      </w:r>
    </w:p>
    <w:p>
      <w:pPr>
        <w:pStyle w:val="Normal1"/>
        <w:shd w:val="clear" w:fill="FFFFFF"/>
        <w:tabs>
          <w:tab w:val="clear" w:pos="720"/>
          <w:tab w:val="left" w:pos="320" w:leader="none"/>
        </w:tabs>
        <w:spacing w:before="0" w:after="200"/>
        <w:ind w:hanging="0" w:left="18" w:right="0"/>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white"/>
          <w:vertAlign w:val="baseline"/>
        </w:rPr>
        <w:t>ANEXO XVI</w:t>
      </w:r>
    </w:p>
    <w:p>
      <w:pPr>
        <w:pStyle w:val="Normal1"/>
        <w:shd w:val="clear" w:fill="FFFFFF"/>
        <w:tabs>
          <w:tab w:val="clear" w:pos="720"/>
          <w:tab w:val="left" w:pos="320" w:leader="none"/>
        </w:tabs>
        <w:ind w:hanging="0" w:left="18" w:right="0"/>
        <w:jc w:val="center"/>
        <w:rPr>
          <w:rFonts w:ascii="Arial" w:hAnsi="Arial" w:eastAsia="Arial" w:cs="Arial"/>
          <w:b/>
          <w:color w:val="000000"/>
          <w:position w:val="0"/>
          <w:sz w:val="20"/>
          <w:sz w:val="20"/>
          <w:szCs w:val="20"/>
          <w:highlight w:val="white"/>
          <w:vertAlign w:val="baseline"/>
        </w:rPr>
      </w:pPr>
      <w:r>
        <w:rPr>
          <w:rFonts w:eastAsia="Arial" w:cs="Arial" w:ascii="Arial" w:hAnsi="Arial"/>
          <w:b/>
          <w:color w:val="000000"/>
          <w:position w:val="0"/>
          <w:sz w:val="20"/>
          <w:sz w:val="20"/>
          <w:szCs w:val="20"/>
          <w:highlight w:val="white"/>
          <w:vertAlign w:val="baseline"/>
        </w:rPr>
      </w:r>
    </w:p>
    <w:p>
      <w:pPr>
        <w:pStyle w:val="Normal1"/>
        <w:shd w:val="clear" w:fill="FFFFFF"/>
        <w:tabs>
          <w:tab w:val="clear" w:pos="720"/>
          <w:tab w:val="left" w:pos="532"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DECLARAÇÃO LGPD.</w:t>
      </w:r>
    </w:p>
    <w:p>
      <w:pPr>
        <w:pStyle w:val="Normal1"/>
        <w:shd w:val="clear" w:fill="FFFFFF"/>
        <w:tabs>
          <w:tab w:val="clear" w:pos="720"/>
          <w:tab w:val="left" w:pos="532" w:leader="none"/>
        </w:tabs>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inscrito no CNPJ n.º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por intermédio de seu representante legal, o(a) Sr.(a)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portador(a) da Carteira de Identidade n.º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 do CPF n.º </w:t>
      </w: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XXXXXXXX</w:t>
      </w:r>
      <w:r>
        <w:rPr>
          <w:rFonts w:eastAsia="Arial" w:cs="Arial" w:ascii="Arial" w:hAnsi="Arial"/>
          <w:b w:val="false"/>
          <w:i w:val="false"/>
          <w:caps w:val="false"/>
          <w:smallCaps w:val="false"/>
          <w:strike w:val="false"/>
          <w:dstrike w:val="false"/>
          <w:color w:val="000000"/>
          <w:position w:val="0"/>
          <w:sz w:val="20"/>
          <w:sz w:val="20"/>
          <w:szCs w:val="20"/>
          <w:vertAlign w:val="baseline"/>
        </w:rPr>
        <w:t>, DECLARA, para os devidos fins, que tem pleno conhecimento das regras contidas no edital de licitação e que possui as condições de habilitação previstas no edital, bem como tem ciência de que:</w:t>
      </w:r>
    </w:p>
    <w:p>
      <w:pPr>
        <w:pStyle w:val="Normal1"/>
        <w:shd w:val="clear" w:fill="FFFFFF"/>
        <w:tabs>
          <w:tab w:val="clear" w:pos="720"/>
          <w:tab w:val="left" w:pos="320" w:leader="none"/>
        </w:tabs>
        <w:spacing w:lineRule="auto" w:line="240" w:before="0" w:after="57"/>
        <w:ind w:hanging="0" w:left="18" w:right="0"/>
        <w:jc w:val="both"/>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 </w:t>
      </w:r>
      <w:r>
        <w:rPr>
          <w:rFonts w:eastAsia="Arial" w:cs="Arial" w:ascii="Arial" w:hAnsi="Arial"/>
          <w:b w:val="false"/>
          <w:i w:val="false"/>
          <w:caps w:val="false"/>
          <w:smallCaps w:val="false"/>
          <w:strike w:val="false"/>
          <w:dstrike w:val="false"/>
          <w:color w:val="000000"/>
          <w:position w:val="0"/>
          <w:sz w:val="20"/>
          <w:sz w:val="20"/>
          <w:szCs w:val="20"/>
          <w:vertAlign w:val="baseline"/>
        </w:rPr>
        <w:t>Como condição para participar desta licitação e ser contratado(a), o(a) interessado(a) deve fornecer para a Administração Pública diversos dados pessoais, entre eles:</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1.1. </w:t>
      </w:r>
      <w:r>
        <w:rPr>
          <w:rFonts w:eastAsia="Arial" w:cs="Arial" w:ascii="Arial" w:hAnsi="Arial"/>
          <w:b w:val="false"/>
          <w:i w:val="false"/>
          <w:caps w:val="false"/>
          <w:smallCaps w:val="false"/>
          <w:strike w:val="false"/>
          <w:dstrike w:val="false"/>
          <w:color w:val="000000"/>
          <w:position w:val="0"/>
          <w:sz w:val="20"/>
          <w:sz w:val="20"/>
          <w:szCs w:val="20"/>
          <w:vertAlign w:val="baseline"/>
        </w:rPr>
        <w:t>aqueles inerentes a documentos de identificação;</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1.2.</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referentes a participações societárias;</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1.3. </w:t>
      </w:r>
      <w:r>
        <w:rPr>
          <w:rFonts w:eastAsia="Arial" w:cs="Arial" w:ascii="Arial" w:hAnsi="Arial"/>
          <w:b w:val="false"/>
          <w:i w:val="false"/>
          <w:caps w:val="false"/>
          <w:smallCaps w:val="false"/>
          <w:strike w:val="false"/>
          <w:dstrike w:val="false"/>
          <w:color w:val="000000"/>
          <w:position w:val="0"/>
          <w:sz w:val="20"/>
          <w:sz w:val="20"/>
          <w:szCs w:val="20"/>
          <w:vertAlign w:val="baseline"/>
        </w:rPr>
        <w:t>informações inseridas em contratos sociais;</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1.4. </w:t>
      </w:r>
      <w:r>
        <w:rPr>
          <w:rFonts w:eastAsia="Arial" w:cs="Arial" w:ascii="Arial" w:hAnsi="Arial"/>
          <w:b w:val="false"/>
          <w:i w:val="false"/>
          <w:caps w:val="false"/>
          <w:smallCaps w:val="false"/>
          <w:strike w:val="false"/>
          <w:dstrike w:val="false"/>
          <w:color w:val="000000"/>
          <w:position w:val="0"/>
          <w:sz w:val="20"/>
          <w:sz w:val="20"/>
          <w:szCs w:val="20"/>
          <w:vertAlign w:val="baseline"/>
        </w:rPr>
        <w:t>endereços físicos e eletrônicos;</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1.5.</w:t>
      </w:r>
      <w:r>
        <w:rPr>
          <w:rFonts w:eastAsia="Arial" w:cs="Arial" w:ascii="Arial" w:hAnsi="Arial"/>
          <w:b w:val="false"/>
          <w:i w:val="false"/>
          <w:caps w:val="false"/>
          <w:smallCaps w:val="false"/>
          <w:strike w:val="false"/>
          <w:dstrike w:val="false"/>
          <w:color w:val="000000"/>
          <w:position w:val="0"/>
          <w:sz w:val="20"/>
          <w:sz w:val="20"/>
          <w:szCs w:val="20"/>
          <w:vertAlign w:val="baseline"/>
        </w:rPr>
        <w:t xml:space="preserve"> estado civil;</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1.6. </w:t>
      </w:r>
      <w:r>
        <w:rPr>
          <w:rFonts w:eastAsia="Arial" w:cs="Arial" w:ascii="Arial" w:hAnsi="Arial"/>
          <w:b w:val="false"/>
          <w:i w:val="false"/>
          <w:caps w:val="false"/>
          <w:smallCaps w:val="false"/>
          <w:strike w:val="false"/>
          <w:dstrike w:val="false"/>
          <w:color w:val="000000"/>
          <w:position w:val="0"/>
          <w:sz w:val="20"/>
          <w:sz w:val="20"/>
          <w:szCs w:val="20"/>
          <w:vertAlign w:val="baseline"/>
        </w:rPr>
        <w:t>eventuais informações sobre cônjuges;</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1.7. </w:t>
      </w:r>
      <w:r>
        <w:rPr>
          <w:rFonts w:eastAsia="Arial" w:cs="Arial" w:ascii="Arial" w:hAnsi="Arial"/>
          <w:b w:val="false"/>
          <w:i w:val="false"/>
          <w:caps w:val="false"/>
          <w:smallCaps w:val="false"/>
          <w:strike w:val="false"/>
          <w:dstrike w:val="false"/>
          <w:color w:val="000000"/>
          <w:position w:val="0"/>
          <w:sz w:val="20"/>
          <w:sz w:val="20"/>
          <w:szCs w:val="20"/>
          <w:vertAlign w:val="baseline"/>
        </w:rPr>
        <w:t>relações de parentesco;</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1.8. </w:t>
      </w:r>
      <w:r>
        <w:rPr>
          <w:rFonts w:eastAsia="Arial" w:cs="Arial" w:ascii="Arial" w:hAnsi="Arial"/>
          <w:b w:val="false"/>
          <w:i w:val="false"/>
          <w:caps w:val="false"/>
          <w:smallCaps w:val="false"/>
          <w:strike w:val="false"/>
          <w:dstrike w:val="false"/>
          <w:color w:val="000000"/>
          <w:position w:val="0"/>
          <w:sz w:val="20"/>
          <w:sz w:val="20"/>
          <w:szCs w:val="20"/>
          <w:vertAlign w:val="baseline"/>
        </w:rPr>
        <w:t>número de telefone;</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1.9. </w:t>
      </w:r>
      <w:r>
        <w:rPr>
          <w:rFonts w:eastAsia="Arial" w:cs="Arial" w:ascii="Arial" w:hAnsi="Arial"/>
          <w:b w:val="false"/>
          <w:i w:val="false"/>
          <w:caps w:val="false"/>
          <w:smallCaps w:val="false"/>
          <w:strike w:val="false"/>
          <w:dstrike w:val="false"/>
          <w:color w:val="000000"/>
          <w:position w:val="0"/>
          <w:sz w:val="20"/>
          <w:sz w:val="20"/>
          <w:szCs w:val="20"/>
          <w:vertAlign w:val="baseline"/>
        </w:rPr>
        <w:t>sanções administrativas que esteja cumprindo perante a Administração Pública;</w:t>
      </w:r>
    </w:p>
    <w:p>
      <w:pPr>
        <w:pStyle w:val="Normal1"/>
        <w:shd w:val="clear" w:fill="FFFFFF"/>
        <w:tabs>
          <w:tab w:val="clear" w:pos="720"/>
          <w:tab w:val="left" w:pos="320" w:leader="none"/>
        </w:tabs>
        <w:spacing w:lineRule="auto" w:line="240" w:before="0" w:after="57"/>
        <w:ind w:hanging="0" w:left="18"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 xml:space="preserve">1.10. </w:t>
      </w:r>
      <w:r>
        <w:rPr>
          <w:rFonts w:eastAsia="Arial" w:cs="Arial" w:ascii="Arial" w:hAnsi="Arial"/>
          <w:b w:val="false"/>
          <w:i w:val="false"/>
          <w:caps w:val="false"/>
          <w:smallCaps w:val="false"/>
          <w:strike w:val="false"/>
          <w:dstrike w:val="false"/>
          <w:color w:val="000000"/>
          <w:position w:val="0"/>
          <w:sz w:val="20"/>
          <w:sz w:val="20"/>
          <w:szCs w:val="20"/>
          <w:vertAlign w:val="baseline"/>
        </w:rPr>
        <w:t>informações sobre eventuais condenações no plano criminal ou por improbidade administrativa; dentre outros necessários à contratação.</w:t>
      </w:r>
    </w:p>
    <w:p>
      <w:pPr>
        <w:pStyle w:val="Normal1"/>
        <w:shd w:val="clear" w:fill="FFFFFF"/>
        <w:tabs>
          <w:tab w:val="clear" w:pos="720"/>
          <w:tab w:val="left" w:pos="320" w:leader="none"/>
        </w:tabs>
        <w:spacing w:lineRule="auto" w:line="240" w:before="0" w:after="57"/>
        <w:ind w:hanging="0" w:left="18" w:right="0"/>
        <w:jc w:val="both"/>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keepNext w:val="false"/>
        <w:keepLines w:val="false"/>
        <w:pageBreakBefore w:val="false"/>
        <w:widowControl/>
        <w:shd w:val="clear" w:fill="FFFFFF"/>
        <w:spacing w:lineRule="auto" w:line="276" w:before="0" w:after="200"/>
        <w:ind w:hanging="0" w:left="36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Essas informações constarão do processo administrativo e serão objeto de tratamento por parte da Administração Pública.</w:t>
      </w:r>
    </w:p>
    <w:p>
      <w:pPr>
        <w:pStyle w:val="Normal1"/>
        <w:keepNext w:val="false"/>
        <w:keepLines w:val="false"/>
        <w:pageBreakBefore w:val="false"/>
        <w:widowControl/>
        <w:shd w:val="clear" w:fill="FFFFFF"/>
        <w:spacing w:lineRule="auto" w:line="276" w:before="0" w:after="200"/>
        <w:ind w:hanging="0" w:left="360"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O tratamento dos dados pessoais relacionados aos processos de contratação se presume válido, legítimo e, portanto, juridicamente adequado.</w:t>
      </w:r>
    </w:p>
    <w:p>
      <w:pPr>
        <w:pStyle w:val="Normal1"/>
        <w:shd w:val="clear" w:fill="FFFFFF"/>
        <w:tabs>
          <w:tab w:val="clear" w:pos="720"/>
          <w:tab w:val="left" w:pos="532" w:leader="none"/>
        </w:tabs>
        <w:ind w:hanging="0" w:left="266" w:right="-12"/>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jc w:val="both"/>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Local e data</w:t>
      </w:r>
    </w:p>
    <w:p>
      <w:pPr>
        <w:pStyle w:val="Normal1"/>
        <w:shd w:val="clear" w:fill="FFFFFF"/>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FF"/>
        <w:jc w:val="center"/>
        <w:rPr>
          <w:rFonts w:ascii="Arial" w:hAnsi="Arial"/>
          <w:sz w:val="20"/>
          <w:szCs w:val="20"/>
        </w:rPr>
      </w:pPr>
      <w:r>
        <w:rPr>
          <w:rFonts w:eastAsia="Arial" w:cs="Arial" w:ascii="Arial" w:hAnsi="Arial"/>
          <w:b w:val="false"/>
          <w:i w:val="false"/>
          <w:caps w:val="false"/>
          <w:smallCaps w:val="false"/>
          <w:strike w:val="false"/>
          <w:dstrike w:val="false"/>
          <w:position w:val="0"/>
          <w:sz w:val="20"/>
          <w:sz w:val="20"/>
          <w:szCs w:val="20"/>
          <w:vertAlign w:val="baseline"/>
        </w:rPr>
        <w:t>________________________________</w:t>
      </w:r>
    </w:p>
    <w:p>
      <w:pPr>
        <w:pStyle w:val="Normal1"/>
        <w:shd w:val="clear" w:fill="FFFFFF"/>
        <w:tabs>
          <w:tab w:val="clear" w:pos="720"/>
          <w:tab w:val="left" w:pos="532" w:leader="none"/>
        </w:tabs>
        <w:spacing w:lineRule="auto" w:line="240" w:before="57" w:after="0"/>
        <w:ind w:hanging="0" w:left="266" w:right="-12"/>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Representante Legal</w:t>
      </w:r>
      <w:r>
        <w:br w:type="page"/>
      </w:r>
    </w:p>
    <w:p>
      <w:pPr>
        <w:pStyle w:val="Normal1"/>
        <w:shd w:val="clear" w:fill="FFFFFF"/>
        <w:tabs>
          <w:tab w:val="clear" w:pos="720"/>
          <w:tab w:val="left" w:pos="532" w:leader="none"/>
        </w:tabs>
        <w:spacing w:before="0" w:after="200"/>
        <w:ind w:hanging="0" w:left="266" w:right="-12"/>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Anexo XVII</w:t>
      </w:r>
    </w:p>
    <w:p>
      <w:pPr>
        <w:pStyle w:val="Normal1"/>
        <w:shd w:val="clear" w:fill="FFFFFF"/>
        <w:tabs>
          <w:tab w:val="clear" w:pos="720"/>
          <w:tab w:val="left" w:pos="532" w:leader="none"/>
        </w:tabs>
        <w:ind w:hanging="0" w:left="266" w:right="-12"/>
        <w:jc w:val="center"/>
        <w:rPr>
          <w:rFonts w:ascii="Arial" w:hAnsi="Arial" w:eastAsia="Arial" w:cs="Arial"/>
          <w:color w:val="000000"/>
          <w:position w:val="0"/>
          <w:sz w:val="20"/>
          <w:sz w:val="20"/>
          <w:szCs w:val="20"/>
          <w:vertAlign w:val="baseline"/>
        </w:rPr>
      </w:pPr>
      <w:r>
        <w:rPr>
          <w:rFonts w:eastAsia="Arial" w:cs="Arial" w:ascii="Arial" w:hAnsi="Arial"/>
          <w:color w:val="000000"/>
          <w:position w:val="0"/>
          <w:sz w:val="20"/>
          <w:sz w:val="20"/>
          <w:szCs w:val="20"/>
          <w:vertAlign w:val="baseline"/>
        </w:rPr>
      </w:r>
    </w:p>
    <w:p>
      <w:pPr>
        <w:pStyle w:val="Normal1"/>
        <w:shd w:val="clear" w:fill="FFFFFF"/>
        <w:tabs>
          <w:tab w:val="clear" w:pos="720"/>
          <w:tab w:val="left" w:pos="532" w:leader="none"/>
        </w:tabs>
        <w:ind w:hanging="0" w:left="266" w:right="-12"/>
        <w:jc w:val="center"/>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vertAlign w:val="baseline"/>
        </w:rPr>
        <w:t>REGRAMENTO PARA ELABORAÇÃO DO PROGRAMA DE INTEGRIDADE</w:t>
      </w:r>
    </w:p>
    <w:p>
      <w:pPr>
        <w:pStyle w:val="Normal1"/>
        <w:shd w:val="clear" w:fill="FFFFFF"/>
        <w:tabs>
          <w:tab w:val="clear" w:pos="720"/>
          <w:tab w:val="left" w:pos="320" w:leader="none"/>
        </w:tabs>
        <w:ind w:hanging="0" w:left="18" w:right="0"/>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p>
      <w:pPr>
        <w:pStyle w:val="Normal1"/>
        <w:shd w:val="clear" w:fill="FFFFFF"/>
        <w:tabs>
          <w:tab w:val="clear" w:pos="720"/>
          <w:tab w:val="left" w:pos="320" w:leader="none"/>
        </w:tabs>
        <w:ind w:hanging="0" w:left="18" w:right="0"/>
        <w:jc w:val="center"/>
        <w:rPr>
          <w:rFonts w:ascii="Arial" w:hAnsi="Arial" w:eastAsia="Arial" w:cs="Arial"/>
          <w:color w:val="000000"/>
          <w:position w:val="0"/>
          <w:sz w:val="20"/>
          <w:sz w:val="20"/>
          <w:szCs w:val="20"/>
          <w:highlight w:val="white"/>
          <w:vertAlign w:val="baseline"/>
        </w:rPr>
      </w:pPr>
      <w:r>
        <w:rPr>
          <w:rFonts w:eastAsia="Arial" w:cs="Arial" w:ascii="Arial" w:hAnsi="Arial"/>
          <w:color w:val="000000"/>
          <w:position w:val="0"/>
          <w:sz w:val="20"/>
          <w:sz w:val="20"/>
          <w:szCs w:val="20"/>
          <w:highlight w:val="white"/>
          <w:vertAlign w:val="baseline"/>
        </w:rPr>
      </w:r>
    </w:p>
    <w:tbl>
      <w:tblPr>
        <w:tblStyle w:val="Table97"/>
        <w:tblW w:w="9075" w:type="dxa"/>
        <w:jc w:val="left"/>
        <w:tblInd w:w="-55" w:type="dxa"/>
        <w:tblLayout w:type="fixed"/>
        <w:tblCellMar>
          <w:top w:w="0" w:type="dxa"/>
          <w:left w:w="108" w:type="dxa"/>
          <w:bottom w:w="0" w:type="dxa"/>
          <w:right w:w="108" w:type="dxa"/>
        </w:tblCellMar>
        <w:tblLook w:val="000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fill="FFFF00" w:val="clear"/>
          </w:tcPr>
          <w:p>
            <w:pPr>
              <w:pStyle w:val="Normal1"/>
              <w:shd w:val="clear" w:fill="FFFF00"/>
              <w:rPr>
                <w:rFonts w:ascii="Arial" w:hAnsi="Arial"/>
                <w:sz w:val="20"/>
                <w:szCs w:val="20"/>
              </w:rPr>
            </w:pPr>
            <w:r>
              <w:rPr>
                <w:rFonts w:eastAsia="Arial" w:cs="Arial" w:ascii="Arial" w:hAnsi="Arial"/>
                <w:b/>
                <w:i w:val="false"/>
                <w:caps w:val="false"/>
                <w:smallCaps w:val="false"/>
                <w:strike w:val="false"/>
                <w:dstrike w:val="false"/>
                <w:position w:val="0"/>
                <w:sz w:val="20"/>
                <w:sz w:val="20"/>
                <w:szCs w:val="20"/>
                <w:vertAlign w:val="baseline"/>
              </w:rPr>
              <w:t xml:space="preserve">Nota explicativa </w:t>
            </w:r>
            <w:r>
              <w:rPr>
                <w:rFonts w:eastAsia="Arial" w:cs="Arial" w:ascii="Arial" w:hAnsi="Arial"/>
                <w:b/>
                <w:i w:val="false"/>
                <w:caps w:val="false"/>
                <w:smallCaps w:val="false"/>
                <w:strike w:val="false"/>
                <w:dstrike w:val="false"/>
                <w:position w:val="0"/>
                <w:sz w:val="20"/>
                <w:sz w:val="20"/>
                <w:szCs w:val="20"/>
                <w:vertAlign w:val="baseline"/>
              </w:rPr>
              <w:fldChar w:fldCharType="begin"/>
            </w:r>
            <w:r>
              <w:rPr>
                <w:smallCaps w:val="false"/>
                <w:caps w:val="false"/>
                <w:dstrike w:val="false"/>
                <w:strike w:val="false"/>
                <w:vertAlign w:val="baseline"/>
                <w:position w:val="0"/>
                <w:sz w:val="20"/>
                <w:sz w:val="20"/>
                <w:i w:val="false"/>
                <w:b/>
                <w:szCs w:val="20"/>
                <w:rFonts w:eastAsia="Arial" w:cs="Arial" w:ascii="Arial" w:hAnsi="Arial"/>
              </w:rPr>
              <w:instrText xml:space="preserve"> SEQ Desenho \* ARABIC </w:instrText>
            </w:r>
            <w:r>
              <w:rPr>
                <w:smallCaps w:val="false"/>
                <w:caps w:val="false"/>
                <w:dstrike w:val="false"/>
                <w:strike w:val="false"/>
                <w:vertAlign w:val="baseline"/>
                <w:position w:val="0"/>
                <w:sz w:val="20"/>
                <w:sz w:val="20"/>
                <w:i w:val="false"/>
                <w:b/>
                <w:szCs w:val="20"/>
                <w:rFonts w:eastAsia="Arial" w:cs="Arial" w:ascii="Arial" w:hAnsi="Arial"/>
              </w:rPr>
              <w:fldChar w:fldCharType="separate"/>
            </w:r>
            <w:r>
              <w:rPr>
                <w:smallCaps w:val="false"/>
                <w:caps w:val="false"/>
                <w:dstrike w:val="false"/>
                <w:strike w:val="false"/>
                <w:vertAlign w:val="baseline"/>
                <w:position w:val="0"/>
                <w:sz w:val="20"/>
                <w:sz w:val="20"/>
                <w:i w:val="false"/>
                <w:b/>
                <w:szCs w:val="20"/>
                <w:rFonts w:eastAsia="Arial" w:cs="Arial" w:ascii="Arial" w:hAnsi="Arial"/>
              </w:rPr>
              <w:t>54</w:t>
            </w:r>
            <w:r>
              <w:rPr>
                <w:smallCaps w:val="false"/>
                <w:caps w:val="false"/>
                <w:dstrike w:val="false"/>
                <w:strike w:val="false"/>
                <w:vertAlign w:val="baseline"/>
                <w:position w:val="0"/>
                <w:sz w:val="20"/>
                <w:sz w:val="20"/>
                <w:i w:val="false"/>
                <w:b/>
                <w:szCs w:val="20"/>
                <w:rFonts w:eastAsia="Arial" w:cs="Arial" w:ascii="Arial" w:hAnsi="Arial"/>
              </w:rPr>
              <w:fldChar w:fldCharType="end"/>
            </w:r>
            <w:r>
              <w:rPr>
                <w:rFonts w:eastAsia="Arial" w:cs="Arial" w:ascii="Arial" w:hAnsi="Arial"/>
                <w:b/>
                <w:i w:val="false"/>
                <w:caps w:val="false"/>
                <w:smallCaps w:val="false"/>
                <w:strike w:val="false"/>
                <w:dstrike w:val="false"/>
                <w:position w:val="0"/>
                <w:sz w:val="20"/>
                <w:sz w:val="20"/>
                <w:szCs w:val="20"/>
                <w:vertAlign w:val="baseline"/>
              </w:rPr>
              <w:t>:</w:t>
            </w:r>
          </w:p>
          <w:p>
            <w:pPr>
              <w:pStyle w:val="Normal1"/>
              <w:shd w:val="clear" w:fill="FFFF00"/>
              <w:spacing w:lineRule="auto" w:line="240" w:before="0" w:after="57"/>
              <w:ind w:firstLine="9" w:left="-9" w:right="0"/>
              <w:jc w:val="both"/>
              <w:rPr>
                <w:rFonts w:ascii="Arial" w:hAnsi="Arial"/>
                <w:sz w:val="20"/>
                <w:szCs w:val="20"/>
              </w:rPr>
            </w:pPr>
            <w:r>
              <w:rPr>
                <w:rFonts w:eastAsia="Arial" w:cs="Arial" w:ascii="Arial" w:hAnsi="Arial"/>
                <w:b/>
                <w:i w:val="false"/>
                <w:caps w:val="false"/>
                <w:smallCaps w:val="false"/>
                <w:strike w:val="false"/>
                <w:dstrike w:val="false"/>
                <w:color w:val="000000"/>
                <w:position w:val="0"/>
                <w:sz w:val="20"/>
                <w:sz w:val="20"/>
                <w:szCs w:val="20"/>
                <w:highlight w:val="yellow"/>
                <w:vertAlign w:val="baseline"/>
              </w:rPr>
              <w:t>(Obs. As notas explicativas são meramente orientativas. Portanto, devem ser excluídas do edital a ser publicado)</w:t>
            </w:r>
          </w:p>
          <w:p>
            <w:pPr>
              <w:pStyle w:val="Normal1"/>
              <w:shd w:val="clear" w:fill="FFFF00"/>
              <w:spacing w:lineRule="auto" w:line="240" w:before="0" w:after="57"/>
              <w:ind w:firstLine="9" w:left="-9" w:right="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hd w:val="clear" w:fill="FFFF0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Nos casos de contratações e fornecimentos de grande vulto, o edital deverá conter regramento para elaboração de programa de integridade.</w:t>
            </w:r>
          </w:p>
          <w:p>
            <w:pPr>
              <w:pStyle w:val="Normal1"/>
              <w:shd w:val="clear" w:fill="FFFF00"/>
              <w:jc w:val="both"/>
              <w:rPr>
                <w:rFonts w:ascii="Arial" w:hAnsi="Arial" w:eastAsia="Arial" w:cs="Arial"/>
                <w:color w:val="000000"/>
                <w:position w:val="0"/>
                <w:sz w:val="20"/>
                <w:sz w:val="20"/>
                <w:szCs w:val="20"/>
                <w:highlight w:val="yellow"/>
                <w:vertAlign w:val="baseline"/>
              </w:rPr>
            </w:pPr>
            <w:r>
              <w:rPr>
                <w:rFonts w:eastAsia="Arial" w:cs="Arial" w:ascii="Arial" w:hAnsi="Arial"/>
                <w:color w:val="000000"/>
                <w:position w:val="0"/>
                <w:sz w:val="20"/>
                <w:sz w:val="20"/>
                <w:szCs w:val="20"/>
                <w:highlight w:val="yellow"/>
                <w:vertAlign w:val="baseline"/>
              </w:rPr>
            </w:r>
          </w:p>
          <w:p>
            <w:pPr>
              <w:pStyle w:val="Normal1"/>
              <w:shd w:val="clear" w:fill="FFFF00"/>
              <w:spacing w:lineRule="auto" w:line="240" w:before="0" w:after="200"/>
              <w:jc w:val="both"/>
              <w:rPr>
                <w:rFonts w:ascii="Arial" w:hAnsi="Arial"/>
                <w:sz w:val="20"/>
                <w:szCs w:val="20"/>
              </w:rPr>
            </w:pPr>
            <w:r>
              <w:rPr>
                <w:rFonts w:eastAsia="Arial" w:cs="Arial" w:ascii="Arial" w:hAnsi="Arial"/>
                <w:b w:val="false"/>
                <w:i w:val="false"/>
                <w:caps w:val="false"/>
                <w:smallCaps w:val="false"/>
                <w:strike w:val="false"/>
                <w:dstrike w:val="false"/>
                <w:color w:val="000000"/>
                <w:position w:val="0"/>
                <w:sz w:val="20"/>
                <w:sz w:val="20"/>
                <w:szCs w:val="20"/>
                <w:highlight w:val="yellow"/>
                <w:vertAlign w:val="baseline"/>
              </w:rPr>
              <w:t>Caso não seja de grande vulto, este anexo deverá ser excluído e ajustada a numeração sequencial.</w:t>
            </w:r>
          </w:p>
        </w:tc>
      </w:tr>
    </w:tbl>
    <w:p>
      <w:pPr>
        <w:pStyle w:val="Normal1"/>
        <w:shd w:val="clear" w:fill="FFFFFF"/>
        <w:tabs>
          <w:tab w:val="clear" w:pos="720"/>
          <w:tab w:val="left" w:pos="532" w:leader="none"/>
        </w:tabs>
        <w:spacing w:lineRule="auto" w:line="240" w:before="57" w:after="0"/>
        <w:ind w:hanging="0" w:left="266" w:right="-12"/>
        <w:jc w:val="center"/>
        <w:rPr>
          <w:rFonts w:ascii="Arial" w:hAnsi="Arial" w:eastAsia="Arial" w:cs="Arial"/>
          <w:b/>
          <w:color w:val="000000"/>
          <w:position w:val="0"/>
          <w:sz w:val="20"/>
          <w:sz w:val="20"/>
          <w:szCs w:val="20"/>
          <w:vertAlign w:val="baseline"/>
        </w:rPr>
      </w:pPr>
      <w:r>
        <w:rPr>
          <w:rFonts w:eastAsia="Arial" w:cs="Arial" w:ascii="Arial" w:hAnsi="Arial"/>
          <w:b/>
          <w:color w:val="000000"/>
          <w:position w:val="0"/>
          <w:sz w:val="20"/>
          <w:sz w:val="20"/>
          <w:szCs w:val="20"/>
          <w:vertAlign w:val="baseline"/>
        </w:rPr>
      </w:r>
    </w:p>
    <w:sectPr>
      <w:type w:val="continuous"/>
      <w:pgSz w:w="11906" w:h="16838"/>
      <w:pgMar w:left="1701" w:right="1134" w:gutter="0" w:header="1701" w:top="3232" w:footer="1134" w:bottom="1191"/>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Tahoma">
    <w:charset w:val="00"/>
    <w:family w:val="swiss"/>
    <w:pitch w:val="variable"/>
  </w:font>
  <w:font w:name="Symbol">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Myriad Pro">
    <w:charset w:val="00"/>
    <w:family w:val="roman"/>
    <w:pitch w:val="variable"/>
  </w:font>
  <w:font w:name="Verdana">
    <w:charset w:val="00"/>
    <w:family w:val="roman"/>
    <w:pitch w:val="variable"/>
  </w:font>
  <w:font w:name="Ecofont_Spranq_eco_Sans">
    <w:charset w:val="00"/>
    <w:family w:val="swiss"/>
    <w:pitch w:val="variable"/>
  </w:font>
  <w:font w:name="Ecofont_Spranq_eco_Sans">
    <w:charset w:val="00"/>
    <w:family w:val="roman"/>
    <w:pitch w:val="variable"/>
  </w:font>
  <w:font w:name="Noto Sans Symbols">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1"/>
      <w:shd w:val="clear" w:fill="FFFFFF"/>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para contratação de serviços de engenharia – Lei Federal n.º 14.133, de 2021 – Decreto Estadual n.º 10.086, de 2022.</w:t>
    </w:r>
  </w:p>
  <w:p>
    <w:pPr>
      <w:pStyle w:val="Normal1"/>
      <w:keepNext w:val="false"/>
      <w:keepLines w:val="false"/>
      <w:widowControl/>
      <w:shd w:val="clear" w:fill="auto"/>
      <w:spacing w:lineRule="auto" w:line="276" w:before="0" w:after="200"/>
      <w:jc w:val="left"/>
      <w:rPr>
        <w:position w:val="0"/>
        <w:sz w:val="22"/>
        <w:sz w:val="22"/>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Atualização</w:t>
    </w:r>
    <w:r>
      <w:rPr>
        <w:rFonts w:eastAsia="Arial" w:cs="Arial" w:ascii="Arial" w:hAnsi="Arial"/>
        <w:b w:val="false"/>
        <w:i w:val="false"/>
        <w:caps w:val="false"/>
        <w:smallCaps w:val="false"/>
        <w:strike w:val="false"/>
        <w:dstrike w:val="false"/>
        <w:position w:val="0"/>
        <w:sz w:val="14"/>
        <w:sz w:val="14"/>
        <w:szCs w:val="14"/>
        <w:shd w:fill="auto" w:val="clear"/>
        <w:vertAlign w:val="baseline"/>
      </w:rPr>
      <w:t>: Fevereiro/2025</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p>
    <w:pPr>
      <w:pStyle w:val="Normal1"/>
      <w:shd w:val="clear" w:fill="FFFFFF"/>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Procuradoria-Geral do Estado do Paraná</w:t>
    </w:r>
  </w:p>
  <w:p>
    <w:pPr>
      <w:pStyle w:val="Normal1"/>
      <w:rPr>
        <w:rFonts w:ascii="Arial" w:hAnsi="Arial" w:eastAsia="Arial" w:cs="Arial"/>
        <w:position w:val="0"/>
        <w:sz w:val="14"/>
        <w:sz w:val="14"/>
        <w:szCs w:val="14"/>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Minuta Padronizada para contratação de serviços de engenharia – Lei Federal n.º 14.133, de 2021 – Decreto Estadual n.º 10.086, de 2022.</w:t>
    </w:r>
  </w:p>
  <w:p>
    <w:pPr>
      <w:pStyle w:val="Normal1"/>
      <w:keepNext w:val="false"/>
      <w:keepLines w:val="false"/>
      <w:widowControl/>
      <w:shd w:val="clear" w:fill="auto"/>
      <w:spacing w:lineRule="auto" w:line="276" w:before="0" w:after="200"/>
      <w:jc w:val="left"/>
      <w:rPr>
        <w:position w:val="0"/>
        <w:sz w:val="22"/>
        <w:sz w:val="22"/>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Atualização</w:t>
    </w:r>
    <w:r>
      <w:rPr>
        <w:rFonts w:eastAsia="Arial" w:cs="Arial" w:ascii="Arial" w:hAnsi="Arial"/>
        <w:b w:val="false"/>
        <w:i w:val="false"/>
        <w:caps w:val="false"/>
        <w:smallCaps w:val="false"/>
        <w:strike w:val="false"/>
        <w:dstrike w:val="false"/>
        <w:position w:val="0"/>
        <w:sz w:val="14"/>
        <w:sz w:val="14"/>
        <w:szCs w:val="14"/>
        <w:shd w:fill="auto" w:val="clear"/>
        <w:vertAlign w:val="baseline"/>
      </w:rPr>
      <w:t>: Fevereiro/2025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false"/>
      <w:keepLines w:val="false"/>
      <w:pageBreakBefore w:val="false"/>
      <w:widowControl/>
      <w:suppressLineNumbers/>
      <w:shd w:val="clear" w:color="auto" w:fill="FFFFFF"/>
      <w:suppressAutoHyphens w:val="false"/>
      <w:overflowPunct w:val="true"/>
      <w:bidi w:val="0"/>
      <w:spacing w:lineRule="auto" w:line="276" w:before="0" w:after="200"/>
      <w:jc w:val="left"/>
      <w:textAlignment w:val="baseli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993" w:leader="none"/>
      </w:tabs>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109">
          <wp:simplePos x="0" y="0"/>
          <wp:positionH relativeFrom="column">
            <wp:posOffset>-28575</wp:posOffset>
          </wp:positionH>
          <wp:positionV relativeFrom="paragraph">
            <wp:posOffset>-123825</wp:posOffset>
          </wp:positionV>
          <wp:extent cx="518795" cy="52006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67" t="-56" r="-67" b="-56"/>
                  <a:stretch>
                    <a:fillRect/>
                  </a:stretch>
                </pic:blipFill>
                <pic:spPr bwMode="auto">
                  <a:xfrm>
                    <a:off x="0" y="0"/>
                    <a:ext cx="518795" cy="520065"/>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(SETOR)</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color w:val="262626"/>
        <w:position w:val="0"/>
        <w:sz w:val="22"/>
        <w:sz w:val="22"/>
        <w:szCs w:val="22"/>
        <w:vertAlign w:val="baseline"/>
      </w:rPr>
    </w:r>
  </w:p>
  <w:p>
    <w:pPr>
      <w:pStyle w:val="Normal1"/>
      <w:pBdr>
        <w:top w:val="single" w:sz="4" w:space="0" w:color="000000"/>
        <w:left w:val="single" w:sz="4" w:space="0" w:color="000000"/>
        <w:bottom w:val="single" w:sz="4" w:space="0" w:color="000000"/>
        <w:right w:val="single" w:sz="4" w:space="0" w:color="000000"/>
      </w:pBdr>
      <w:shd w:val="clear" w:fill="FFFFFF"/>
      <w:tabs>
        <w:tab w:val="clear" w:pos="720"/>
        <w:tab w:val="left" w:pos="3231" w:leader="none"/>
        <w:tab w:val="center" w:pos="6490" w:leader="none"/>
        <w:tab w:val="right" w:pos="10742" w:leader="none"/>
      </w:tabs>
      <w:spacing w:lineRule="auto" w:line="240" w:before="0" w:after="200"/>
      <w:ind w:hanging="0" w:left="2238" w:right="3"/>
      <w:jc w:val="right"/>
      <w:rPr>
        <w:position w:val="0"/>
        <w:sz w:val="22"/>
        <w:sz w:val="22"/>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 xml:space="preserve">Protocolo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Pregão Eletrônico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color w:val="FF0000"/>
        <w:position w:val="0"/>
        <w:sz w:val="18"/>
        <w:sz w:val="18"/>
        <w:szCs w:val="18"/>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 EDITAL  </w:t>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1</w:t>
    </w:r>
    <w:r>
      <w:rPr>
        <w:sz w:val="14"/>
        <w:szCs w:val="14"/>
        <w:rFonts w:ascii="Arial" w:hAnsi="Arial"/>
      </w:rPr>
      <w:fldChar w:fldCharType="end"/>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108</w:t>
    </w:r>
    <w:r>
      <w:rPr>
        <w:sz w:val="14"/>
        <w:szCs w:val="14"/>
        <w:rFonts w:ascii="Arial" w:hAnsi="Arial"/>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hd w:val="clear" w:fill="FFFFFF"/>
      <w:tabs>
        <w:tab w:val="clear" w:pos="720"/>
        <w:tab w:val="left" w:pos="993" w:leader="none"/>
      </w:tabs>
      <w:rPr>
        <w:rFonts w:ascii="Arial" w:hAnsi="Arial" w:eastAsia="Arial" w:cs="Arial"/>
        <w:b/>
        <w:color w:val="262626"/>
        <w:position w:val="0"/>
        <w:sz w:val="22"/>
        <w:sz w:val="22"/>
        <w:szCs w:val="22"/>
        <w:vertAlign w:val="baseline"/>
      </w:rPr>
    </w:pPr>
    <w:r>
      <w:drawing>
        <wp:anchor behindDoc="1" distT="0" distB="0" distL="0" distR="0" simplePos="0" locked="0" layoutInCell="1" allowOverlap="1" relativeHeight="109">
          <wp:simplePos x="0" y="0"/>
          <wp:positionH relativeFrom="column">
            <wp:posOffset>-28575</wp:posOffset>
          </wp:positionH>
          <wp:positionV relativeFrom="paragraph">
            <wp:posOffset>-123825</wp:posOffset>
          </wp:positionV>
          <wp:extent cx="518795" cy="52006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67" t="-56" r="-67" b="-56"/>
                  <a:stretch>
                    <a:fillRect/>
                  </a:stretch>
                </pic:blipFill>
                <pic:spPr bwMode="auto">
                  <a:xfrm>
                    <a:off x="0" y="0"/>
                    <a:ext cx="518795" cy="520065"/>
                  </a:xfrm>
                  <a:prstGeom prst="rect">
                    <a:avLst/>
                  </a:prstGeom>
                </pic:spPr>
              </pic:pic>
            </a:graphicData>
          </a:graphic>
        </wp:anchor>
      </w:drawing>
    </w:r>
    <w:r>
      <w:rPr>
        <w:rFonts w:eastAsia="Arial" w:cs="Arial" w:ascii="Arial" w:hAnsi="Arial"/>
        <w:b/>
        <w:i w:val="false"/>
        <w:caps w:val="false"/>
        <w:smallCaps w:val="false"/>
        <w:strike w:val="false"/>
        <w:dstrike w:val="false"/>
        <w:color w:val="262626"/>
        <w:position w:val="0"/>
        <w:sz w:val="22"/>
        <w:sz w:val="22"/>
        <w:szCs w:val="22"/>
        <w:vertAlign w:val="baseline"/>
      </w:rPr>
      <w:tab/>
      <w:t>ESTADO DO PARANÁ</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i w:val="false"/>
        <w:caps w:val="false"/>
        <w:smallCaps w:val="false"/>
        <w:strike w:val="false"/>
        <w:dstrike w:val="false"/>
        <w:color w:val="262626"/>
        <w:position w:val="0"/>
        <w:sz w:val="22"/>
        <w:sz w:val="22"/>
        <w:szCs w:val="22"/>
        <w:vertAlign w:val="baseline"/>
      </w:rPr>
      <w:tab/>
      <w:t>(ÓRGÃO/ENTIDADE ESTADUAL)</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b w:val="false"/>
        <w:i w:val="false"/>
        <w:caps w:val="false"/>
        <w:smallCaps w:val="false"/>
        <w:strike w:val="false"/>
        <w:dstrike w:val="false"/>
        <w:color w:val="262626"/>
        <w:position w:val="0"/>
        <w:sz w:val="22"/>
        <w:sz w:val="22"/>
        <w:szCs w:val="22"/>
        <w:vertAlign w:val="baseline"/>
      </w:rPr>
      <w:tab/>
    </w:r>
    <w:r>
      <w:rPr>
        <w:rFonts w:eastAsia="Arial" w:cs="Arial" w:ascii="Arial" w:hAnsi="Arial"/>
        <w:b/>
        <w:i w:val="false"/>
        <w:caps w:val="false"/>
        <w:smallCaps w:val="false"/>
        <w:strike w:val="false"/>
        <w:dstrike w:val="false"/>
        <w:color w:val="262626"/>
        <w:position w:val="0"/>
        <w:sz w:val="22"/>
        <w:sz w:val="22"/>
        <w:szCs w:val="22"/>
        <w:vertAlign w:val="baseline"/>
      </w:rPr>
      <w:t>(SETOR)</w:t>
    </w:r>
  </w:p>
  <w:p>
    <w:pPr>
      <w:pStyle w:val="Normal1"/>
      <w:shd w:val="clear" w:fill="FFFFFF"/>
      <w:tabs>
        <w:tab w:val="clear" w:pos="720"/>
        <w:tab w:val="left" w:pos="993" w:leader="none"/>
      </w:tabs>
      <w:rPr>
        <w:rFonts w:ascii="Arial" w:hAnsi="Arial" w:eastAsia="Arial" w:cs="Arial"/>
        <w:color w:val="262626"/>
        <w:position w:val="0"/>
        <w:sz w:val="22"/>
        <w:sz w:val="22"/>
        <w:szCs w:val="22"/>
        <w:vertAlign w:val="baseline"/>
      </w:rPr>
    </w:pPr>
    <w:r>
      <w:rPr>
        <w:rFonts w:eastAsia="Arial" w:cs="Arial" w:ascii="Arial" w:hAnsi="Arial"/>
        <w:color w:val="262626"/>
        <w:position w:val="0"/>
        <w:sz w:val="22"/>
        <w:sz w:val="22"/>
        <w:szCs w:val="22"/>
        <w:vertAlign w:val="baseline"/>
      </w:rPr>
    </w:r>
  </w:p>
  <w:p>
    <w:pPr>
      <w:pStyle w:val="Normal1"/>
      <w:pBdr>
        <w:top w:val="single" w:sz="4" w:space="0" w:color="000000"/>
        <w:left w:val="single" w:sz="4" w:space="0" w:color="000000"/>
        <w:bottom w:val="single" w:sz="4" w:space="0" w:color="000000"/>
        <w:right w:val="single" w:sz="4" w:space="0" w:color="000000"/>
      </w:pBdr>
      <w:shd w:val="clear" w:fill="FFFFFF"/>
      <w:tabs>
        <w:tab w:val="clear" w:pos="720"/>
        <w:tab w:val="left" w:pos="3231" w:leader="none"/>
        <w:tab w:val="center" w:pos="6490" w:leader="none"/>
        <w:tab w:val="right" w:pos="10742" w:leader="none"/>
      </w:tabs>
      <w:spacing w:lineRule="auto" w:line="240" w:before="0" w:after="200"/>
      <w:ind w:hanging="0" w:left="2238" w:right="3"/>
      <w:jc w:val="right"/>
      <w:rPr>
        <w:position w:val="0"/>
        <w:sz w:val="22"/>
        <w:sz w:val="22"/>
        <w:vertAlign w:val="baseline"/>
      </w:rPr>
    </w:pPr>
    <w:r>
      <w:rPr>
        <w:rFonts w:eastAsia="Arial" w:cs="Arial" w:ascii="Arial" w:hAnsi="Arial"/>
        <w:b w:val="false"/>
        <w:i w:val="false"/>
        <w:caps w:val="false"/>
        <w:smallCaps w:val="false"/>
        <w:strike w:val="false"/>
        <w:dstrike w:val="false"/>
        <w:position w:val="0"/>
        <w:sz w:val="14"/>
        <w:sz w:val="14"/>
        <w:szCs w:val="14"/>
        <w:vertAlign w:val="baseline"/>
      </w:rPr>
      <w:t xml:space="preserve">Protocolo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Pregão Eletrônico n°  </w:t>
    </w:r>
    <w:r>
      <w:rPr>
        <w:rFonts w:eastAsia="Arial" w:cs="Arial" w:ascii="Arial" w:hAnsi="Arial"/>
        <w:b w:val="false"/>
        <w:i w:val="false"/>
        <w:caps w:val="false"/>
        <w:smallCaps w:val="false"/>
        <w:strike w:val="false"/>
        <w:dstrike w:val="false"/>
        <w:color w:val="FF0000"/>
        <w:position w:val="0"/>
        <w:sz w:val="14"/>
        <w:sz w:val="14"/>
        <w:szCs w:val="14"/>
        <w:vertAlign w:val="baseline"/>
      </w:rPr>
      <w:t xml:space="preserve">                   </w:t>
    </w:r>
    <w:r>
      <w:rPr>
        <w:rFonts w:eastAsia="Arial" w:cs="Arial" w:ascii="Arial" w:hAnsi="Arial"/>
        <w:b w:val="false"/>
        <w:i w:val="false"/>
        <w:caps w:val="false"/>
        <w:smallCaps w:val="false"/>
        <w:strike w:val="false"/>
        <w:dstrike w:val="false"/>
        <w:color w:val="FF0000"/>
        <w:position w:val="0"/>
        <w:sz w:val="18"/>
        <w:sz w:val="18"/>
        <w:szCs w:val="18"/>
        <w:vertAlign w:val="baseline"/>
      </w:rPr>
      <w:t xml:space="preserve">    </w:t>
    </w:r>
    <w:r>
      <w:rPr>
        <w:rFonts w:eastAsia="Arial" w:cs="Arial" w:ascii="Arial" w:hAnsi="Arial"/>
        <w:b w:val="false"/>
        <w:i w:val="false"/>
        <w:caps w:val="false"/>
        <w:smallCaps w:val="false"/>
        <w:strike w:val="false"/>
        <w:dstrike w:val="false"/>
        <w:position w:val="0"/>
        <w:sz w:val="14"/>
        <w:sz w:val="14"/>
        <w:szCs w:val="14"/>
        <w:vertAlign w:val="baseline"/>
      </w:rPr>
      <w:t xml:space="preserve"> – EDITAL  </w:t>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1</w:t>
    </w:r>
    <w:r>
      <w:rPr>
        <w:sz w:val="14"/>
        <w:szCs w:val="14"/>
        <w:rFonts w:ascii="Arial" w:hAnsi="Arial"/>
      </w:rPr>
      <w:fldChar w:fldCharType="end"/>
    </w:r>
    <w:r>
      <w:rPr>
        <w:rFonts w:eastAsia="Arial" w:cs="Arial" w:ascii="Arial" w:hAnsi="Arial"/>
        <w:b w:val="false"/>
        <w:i w:val="false"/>
        <w:caps w:val="false"/>
        <w:smallCaps w:val="false"/>
        <w:strike w:val="false"/>
        <w:dstrike w:val="false"/>
        <w:position w:val="0"/>
        <w:sz w:val="14"/>
        <w:sz w:val="14"/>
        <w:szCs w:val="14"/>
        <w:u w:val="single"/>
        <w:vertAlign w:val="baseline"/>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108</w:t>
    </w:r>
    <w:r>
      <w:rPr>
        <w:sz w:val="14"/>
        <w:szCs w:val="14"/>
        <w:rFonts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32" w:hanging="432"/>
      </w:pPr>
      <w:rPr>
        <w:vertAlign w:val="baseline"/>
        <w:position w:val="0"/>
        <w:sz w:val="20"/>
        <w:sz w:val="20"/>
        <w:b/>
        <w:szCs w:val="20"/>
      </w:rPr>
    </w:lvl>
    <w:lvl w:ilvl="1">
      <w:start w:val="1"/>
      <w:numFmt w:val="decimal"/>
      <w:lvlText w:val="%1.%2)"/>
      <w:lvlJc w:val="left"/>
      <w:pPr>
        <w:tabs>
          <w:tab w:val="num" w:pos="0"/>
        </w:tabs>
        <w:ind w:left="576" w:hanging="576"/>
      </w:pPr>
      <w:rPr>
        <w:vertAlign w:val="baseline"/>
        <w:position w:val="0"/>
        <w:sz w:val="22"/>
        <w:sz w:val="22"/>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864" w:hanging="864"/>
      </w:pPr>
      <w:rPr>
        <w:vertAlign w:val="baseline"/>
        <w:position w:val="0"/>
        <w:sz w:val="22"/>
        <w:sz w:val="22"/>
      </w:rPr>
    </w:lvl>
    <w:lvl w:ilvl="4">
      <w:start w:val="1"/>
      <w:numFmt w:val="decimal"/>
      <w:lvlText w:val="%1.%2.%3.%4.%5"/>
      <w:lvlJc w:val="left"/>
      <w:pPr>
        <w:tabs>
          <w:tab w:val="num" w:pos="0"/>
        </w:tabs>
        <w:ind w:left="1008" w:hanging="1008"/>
      </w:pPr>
      <w:rPr>
        <w:vertAlign w:val="baseline"/>
        <w:position w:val="0"/>
        <w:sz w:val="22"/>
        <w:sz w:val="22"/>
      </w:rPr>
    </w:lvl>
    <w:lvl w:ilvl="5">
      <w:start w:val="1"/>
      <w:numFmt w:val="decimal"/>
      <w:lvlText w:val="%1.%2.%3.%4.%5.%6"/>
      <w:lvlJc w:val="left"/>
      <w:pPr>
        <w:tabs>
          <w:tab w:val="num" w:pos="0"/>
        </w:tabs>
        <w:ind w:left="1152" w:hanging="1152"/>
      </w:pPr>
      <w:rPr>
        <w:vertAlign w:val="baseline"/>
        <w:position w:val="0"/>
        <w:sz w:val="22"/>
        <w:sz w:val="22"/>
      </w:rPr>
    </w:lvl>
    <w:lvl w:ilvl="6">
      <w:start w:val="1"/>
      <w:numFmt w:val="decimal"/>
      <w:lvlText w:val="%1.%2.%3.%4.%5.%6.%7"/>
      <w:lvlJc w:val="left"/>
      <w:pPr>
        <w:tabs>
          <w:tab w:val="num" w:pos="0"/>
        </w:tabs>
        <w:ind w:left="1296" w:hanging="1296"/>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584" w:hanging="1584"/>
      </w:pPr>
      <w:rPr>
        <w:vertAlign w:val="baseline"/>
        <w:position w:val="0"/>
        <w:sz w:val="22"/>
        <w:sz w:val="22"/>
      </w:rPr>
    </w:lvl>
  </w:abstractNum>
  <w:abstractNum w:abstractNumId="2">
    <w:lvl w:ilvl="0">
      <w:start w:val="1"/>
      <w:numFmt w:val="lowerLetter"/>
      <w:lvlText w:val="%1)"/>
      <w:lvlJc w:val="left"/>
      <w:pPr>
        <w:tabs>
          <w:tab w:val="num" w:pos="0"/>
        </w:tabs>
        <w:ind w:left="432" w:hanging="432"/>
      </w:pPr>
      <w:rPr>
        <w:vertAlign w:val="baseline"/>
        <w:position w:val="0"/>
        <w:sz w:val="20"/>
        <w:sz w:val="20"/>
        <w:b/>
        <w:szCs w:val="20"/>
      </w:rPr>
    </w:lvl>
    <w:lvl w:ilvl="1">
      <w:start w:val="1"/>
      <w:numFmt w:val="decimal"/>
      <w:lvlText w:val="%1.%2)"/>
      <w:lvlJc w:val="left"/>
      <w:pPr>
        <w:tabs>
          <w:tab w:val="num" w:pos="0"/>
        </w:tabs>
        <w:ind w:left="576" w:hanging="576"/>
      </w:pPr>
      <w:rPr>
        <w:vertAlign w:val="baseline"/>
        <w:position w:val="0"/>
        <w:sz w:val="20"/>
        <w:sz w:val="20"/>
        <w:szCs w:val="20"/>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864" w:hanging="864"/>
      </w:pPr>
      <w:rPr>
        <w:vertAlign w:val="baseline"/>
        <w:position w:val="0"/>
        <w:sz w:val="22"/>
        <w:sz w:val="22"/>
      </w:rPr>
    </w:lvl>
    <w:lvl w:ilvl="4">
      <w:start w:val="1"/>
      <w:numFmt w:val="decimal"/>
      <w:lvlText w:val="%1.%2.%3.%4.%5"/>
      <w:lvlJc w:val="left"/>
      <w:pPr>
        <w:tabs>
          <w:tab w:val="num" w:pos="0"/>
        </w:tabs>
        <w:ind w:left="1008" w:hanging="1008"/>
      </w:pPr>
      <w:rPr>
        <w:vertAlign w:val="baseline"/>
        <w:position w:val="0"/>
        <w:sz w:val="22"/>
        <w:sz w:val="22"/>
      </w:rPr>
    </w:lvl>
    <w:lvl w:ilvl="5">
      <w:start w:val="1"/>
      <w:numFmt w:val="decimal"/>
      <w:lvlText w:val="%1.%2.%3.%4.%5.%6"/>
      <w:lvlJc w:val="left"/>
      <w:pPr>
        <w:tabs>
          <w:tab w:val="num" w:pos="0"/>
        </w:tabs>
        <w:ind w:left="1152" w:hanging="1152"/>
      </w:pPr>
      <w:rPr>
        <w:vertAlign w:val="baseline"/>
        <w:position w:val="0"/>
        <w:sz w:val="22"/>
        <w:sz w:val="22"/>
      </w:rPr>
    </w:lvl>
    <w:lvl w:ilvl="6">
      <w:start w:val="1"/>
      <w:numFmt w:val="decimal"/>
      <w:lvlText w:val="%1.%2.%3.%4.%5.%6.%7"/>
      <w:lvlJc w:val="left"/>
      <w:pPr>
        <w:tabs>
          <w:tab w:val="num" w:pos="0"/>
        </w:tabs>
        <w:ind w:left="1296" w:hanging="1296"/>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584" w:hanging="1584"/>
      </w:pPr>
      <w:rPr>
        <w:vertAlign w:val="baseline"/>
        <w:position w:val="0"/>
        <w:sz w:val="22"/>
        <w:sz w:val="22"/>
      </w:rPr>
    </w:lvl>
  </w:abstractNum>
  <w:abstractNum w:abstractNumId="3">
    <w:lvl w:ilvl="0">
      <w:start w:val="1"/>
      <w:numFmt w:val="lowerLetter"/>
      <w:lvlText w:val="%1)"/>
      <w:lvlJc w:val="left"/>
      <w:pPr>
        <w:tabs>
          <w:tab w:val="num" w:pos="0"/>
        </w:tabs>
        <w:ind w:left="360" w:hanging="360"/>
      </w:pPr>
      <w:rPr>
        <w:vertAlign w:val="baseline"/>
        <w:position w:val="0"/>
        <w:sz w:val="20"/>
        <w:sz w:val="20"/>
        <w:szCs w:val="20"/>
        <w:rFonts w:ascii="Arial" w:hAnsi="Arial" w:eastAsia="Arial" w:cs="Arial"/>
      </w:rPr>
    </w:lvl>
    <w:lvl w:ilvl="1">
      <w:start w:val="1"/>
      <w:numFmt w:val="decimal"/>
      <w:lvlText w:val="%2."/>
      <w:lvlJc w:val="left"/>
      <w:pPr>
        <w:tabs>
          <w:tab w:val="num" w:pos="0"/>
        </w:tabs>
        <w:ind w:left="1080" w:hanging="360"/>
      </w:pPr>
      <w:rPr>
        <w:vertAlign w:val="baseline"/>
        <w:position w:val="0"/>
        <w:sz w:val="20"/>
        <w:sz w:val="20"/>
        <w:szCs w:val="20"/>
        <w:rFonts w:ascii="Courier New" w:hAnsi="Courier New" w:eastAsia="Courier New" w:cs="Courier New"/>
      </w:rPr>
    </w:lvl>
    <w:lvl w:ilvl="2">
      <w:start w:val="1"/>
      <w:numFmt w:val="decimal"/>
      <w:lvlText w:val="%3."/>
      <w:lvlJc w:val="left"/>
      <w:pPr>
        <w:tabs>
          <w:tab w:val="num" w:pos="0"/>
        </w:tabs>
        <w:ind w:left="1440" w:hanging="360"/>
      </w:pPr>
      <w:rPr>
        <w:vertAlign w:val="baseline"/>
        <w:position w:val="0"/>
        <w:sz w:val="20"/>
        <w:sz w:val="20"/>
        <w:szCs w:val="20"/>
        <w:rFonts w:ascii="Noto Sans Symbols" w:hAnsi="Noto Sans Symbols" w:eastAsia="Noto Sans Symbols" w:cs="Noto Sans Symbols"/>
      </w:rPr>
    </w:lvl>
    <w:lvl w:ilvl="3">
      <w:start w:val="1"/>
      <w:numFmt w:val="decimal"/>
      <w:lvlText w:val="%4."/>
      <w:lvlJc w:val="left"/>
      <w:pPr>
        <w:tabs>
          <w:tab w:val="num" w:pos="0"/>
        </w:tabs>
        <w:ind w:left="1800" w:hanging="360"/>
      </w:pPr>
      <w:rPr>
        <w:vertAlign w:val="baseline"/>
        <w:position w:val="0"/>
        <w:sz w:val="22"/>
        <w:sz w:val="22"/>
      </w:rPr>
    </w:lvl>
    <w:lvl w:ilvl="4">
      <w:start w:val="1"/>
      <w:numFmt w:val="decimal"/>
      <w:lvlText w:val="%5."/>
      <w:lvlJc w:val="left"/>
      <w:pPr>
        <w:tabs>
          <w:tab w:val="num" w:pos="0"/>
        </w:tabs>
        <w:ind w:left="2160" w:hanging="360"/>
      </w:pPr>
      <w:rPr>
        <w:vertAlign w:val="baseline"/>
        <w:position w:val="0"/>
        <w:sz w:val="22"/>
        <w:sz w:val="22"/>
      </w:rPr>
    </w:lvl>
    <w:lvl w:ilvl="5">
      <w:start w:val="1"/>
      <w:numFmt w:val="decimal"/>
      <w:lvlText w:val="%6."/>
      <w:lvlJc w:val="left"/>
      <w:pPr>
        <w:tabs>
          <w:tab w:val="num" w:pos="0"/>
        </w:tabs>
        <w:ind w:left="2520" w:hanging="360"/>
      </w:pPr>
      <w:rPr>
        <w:vertAlign w:val="baseline"/>
        <w:position w:val="0"/>
        <w:sz w:val="22"/>
        <w:sz w:val="22"/>
      </w:rPr>
    </w:lvl>
    <w:lvl w:ilvl="6">
      <w:start w:val="1"/>
      <w:numFmt w:val="decimal"/>
      <w:lvlText w:val="%7."/>
      <w:lvlJc w:val="left"/>
      <w:pPr>
        <w:tabs>
          <w:tab w:val="num" w:pos="0"/>
        </w:tabs>
        <w:ind w:left="2880" w:hanging="360"/>
      </w:pPr>
      <w:rPr>
        <w:vertAlign w:val="baseline"/>
        <w:position w:val="0"/>
        <w:sz w:val="22"/>
        <w:sz w:val="22"/>
      </w:rPr>
    </w:lvl>
    <w:lvl w:ilvl="7">
      <w:start w:val="1"/>
      <w:numFmt w:val="decimal"/>
      <w:lvlText w:val="%8."/>
      <w:lvlJc w:val="left"/>
      <w:pPr>
        <w:tabs>
          <w:tab w:val="num" w:pos="0"/>
        </w:tabs>
        <w:ind w:left="3240" w:hanging="360"/>
      </w:pPr>
      <w:rPr>
        <w:vertAlign w:val="baseline"/>
        <w:position w:val="0"/>
        <w:sz w:val="22"/>
        <w:sz w:val="22"/>
      </w:rPr>
    </w:lvl>
    <w:lvl w:ilvl="8">
      <w:start w:val="1"/>
      <w:numFmt w:val="decimal"/>
      <w:lvlText w:val="%9."/>
      <w:lvlJc w:val="left"/>
      <w:pPr>
        <w:tabs>
          <w:tab w:val="num" w:pos="0"/>
        </w:tabs>
        <w:ind w:left="3600" w:hanging="360"/>
      </w:pPr>
      <w:rPr>
        <w:vertAlign w:val="baseline"/>
        <w:position w:val="0"/>
        <w:sz w:val="22"/>
        <w:sz w:val="22"/>
      </w:rPr>
    </w:lvl>
  </w:abstractNum>
  <w:abstractNum w:abstractNumId="4">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1">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2">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3">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4">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5">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6">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7">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lvl w:ilvl="8">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yellow"/>
        <w:color w:val="000000"/>
      </w:rPr>
    </w:lvl>
  </w:abstractNum>
  <w:abstractNum w:abstractNumId="5">
    <w:lvl w:ilvl="0">
      <w:start w:val="1"/>
      <w:numFmt w:val="bullet"/>
      <w:lvlText w:val="●"/>
      <w:lvlJc w:val="left"/>
      <w:pPr>
        <w:tabs>
          <w:tab w:val="num" w:pos="0"/>
        </w:tabs>
        <w:ind w:left="0" w:hanging="0"/>
      </w:pPr>
      <w:rPr>
        <w:rFonts w:ascii="Noto Sans Symbols" w:hAnsi="Noto Sans Symbols" w:cs="Noto Sans Symbols" w:hint="default"/>
        <w:vertAlign w:val="baseline"/>
        <w:position w:val="0"/>
        <w:sz w:val="20"/>
        <w:sz w:val="20"/>
        <w:szCs w:val="20"/>
        <w:highlight w:val="white"/>
      </w:rPr>
    </w:lvl>
    <w:lvl w:ilvl="1">
      <w:start w:val="1"/>
      <w:numFmt w:val="decimal"/>
      <w:lvlText w:val="%2."/>
      <w:lvlJc w:val="left"/>
      <w:pPr>
        <w:tabs>
          <w:tab w:val="num" w:pos="0"/>
        </w:tabs>
        <w:ind w:left="0" w:hanging="0"/>
      </w:pPr>
      <w:rPr>
        <w:vertAlign w:val="baseline"/>
        <w:position w:val="0"/>
        <w:sz w:val="22"/>
        <w:sz w:val="22"/>
      </w:rPr>
    </w:lvl>
    <w:lvl w:ilvl="2">
      <w:start w:val="1"/>
      <w:numFmt w:val="decimal"/>
      <w:lvlText w:val="%3."/>
      <w:lvlJc w:val="left"/>
      <w:pPr>
        <w:tabs>
          <w:tab w:val="num" w:pos="0"/>
        </w:tabs>
        <w:ind w:left="0" w:hanging="0"/>
      </w:pPr>
      <w:rPr>
        <w:vertAlign w:val="baseline"/>
        <w:position w:val="0"/>
        <w:sz w:val="20"/>
        <w:sz w:val="20"/>
        <w:szCs w:val="20"/>
      </w:rPr>
    </w:lvl>
    <w:lvl w:ilvl="3">
      <w:start w:val="1"/>
      <w:numFmt w:val="decimal"/>
      <w:lvlText w:val="%4."/>
      <w:lvlJc w:val="left"/>
      <w:pPr>
        <w:tabs>
          <w:tab w:val="num" w:pos="0"/>
        </w:tabs>
        <w:ind w:left="0" w:hanging="0"/>
      </w:pPr>
      <w:rPr>
        <w:vertAlign w:val="baseline"/>
        <w:position w:val="0"/>
        <w:sz w:val="22"/>
        <w:sz w:val="22"/>
      </w:rPr>
    </w:lvl>
    <w:lvl w:ilvl="4">
      <w:start w:val="1"/>
      <w:numFmt w:val="decimal"/>
      <w:lvlText w:val="%5."/>
      <w:lvlJc w:val="left"/>
      <w:pPr>
        <w:tabs>
          <w:tab w:val="num" w:pos="0"/>
        </w:tabs>
        <w:ind w:left="0" w:hanging="0"/>
      </w:pPr>
      <w:rPr>
        <w:vertAlign w:val="baseline"/>
        <w:position w:val="0"/>
        <w:sz w:val="22"/>
        <w:sz w:val="22"/>
      </w:rPr>
    </w:lvl>
    <w:lvl w:ilvl="5">
      <w:start w:val="1"/>
      <w:numFmt w:val="decimal"/>
      <w:lvlText w:val="%6."/>
      <w:lvlJc w:val="left"/>
      <w:pPr>
        <w:tabs>
          <w:tab w:val="num" w:pos="0"/>
        </w:tabs>
        <w:ind w:left="0" w:hanging="0"/>
      </w:pPr>
      <w:rPr>
        <w:vertAlign w:val="baseline"/>
        <w:position w:val="0"/>
        <w:sz w:val="22"/>
        <w:sz w:val="22"/>
      </w:rPr>
    </w:lvl>
    <w:lvl w:ilvl="6">
      <w:start w:val="1"/>
      <w:numFmt w:val="decimal"/>
      <w:lvlText w:val="%7."/>
      <w:lvlJc w:val="left"/>
      <w:pPr>
        <w:tabs>
          <w:tab w:val="num" w:pos="0"/>
        </w:tabs>
        <w:ind w:left="0" w:hanging="0"/>
      </w:pPr>
      <w:rPr>
        <w:vertAlign w:val="baseline"/>
        <w:position w:val="0"/>
        <w:sz w:val="22"/>
        <w:sz w:val="22"/>
      </w:rPr>
    </w:lvl>
    <w:lvl w:ilvl="7">
      <w:start w:val="1"/>
      <w:numFmt w:val="decimal"/>
      <w:lvlText w:val="%8."/>
      <w:lvlJc w:val="left"/>
      <w:pPr>
        <w:tabs>
          <w:tab w:val="num" w:pos="0"/>
        </w:tabs>
        <w:ind w:left="0" w:hanging="0"/>
      </w:pPr>
      <w:rPr>
        <w:vertAlign w:val="baseline"/>
        <w:position w:val="0"/>
        <w:sz w:val="22"/>
        <w:sz w:val="22"/>
      </w:rPr>
    </w:lvl>
    <w:lvl w:ilvl="8">
      <w:start w:val="1"/>
      <w:numFmt w:val="decimal"/>
      <w:lvlText w:val="%9."/>
      <w:lvlJc w:val="left"/>
      <w:pPr>
        <w:tabs>
          <w:tab w:val="num" w:pos="0"/>
        </w:tabs>
        <w:ind w:left="0" w:hanging="0"/>
      </w:pPr>
      <w:rPr>
        <w:vertAlign w:val="baseline"/>
        <w:position w:val="0"/>
        <w:sz w:val="22"/>
        <w:sz w:val="22"/>
      </w:rPr>
    </w:lvl>
  </w:abstractNum>
  <w:abstractNum w:abstractNumId="6">
    <w:lvl w:ilvl="0">
      <w:start w:val="2"/>
      <w:numFmt w:val="lowerLetter"/>
      <w:lvlText w:val="%1)"/>
      <w:lvlJc w:val="left"/>
      <w:pPr>
        <w:tabs>
          <w:tab w:val="num" w:pos="0"/>
        </w:tabs>
        <w:ind w:left="432" w:hanging="432"/>
      </w:pPr>
      <w:rPr>
        <w:vertAlign w:val="baseline"/>
        <w:position w:val="0"/>
        <w:sz w:val="22"/>
        <w:sz w:val="22"/>
        <w:i w:val="false"/>
        <w:b/>
        <w:rFonts w:ascii="Tahoma" w:hAnsi="Tahoma" w:eastAsia="Tahoma" w:cs="Tahoma"/>
      </w:rPr>
    </w:lvl>
    <w:lvl w:ilvl="1">
      <w:start w:val="1"/>
      <w:numFmt w:val="decimal"/>
      <w:lvlText w:val="%1.%2)"/>
      <w:lvlJc w:val="left"/>
      <w:pPr>
        <w:tabs>
          <w:tab w:val="num" w:pos="0"/>
        </w:tabs>
        <w:ind w:left="576" w:hanging="576"/>
      </w:pPr>
      <w:rPr>
        <w:vertAlign w:val="baseline"/>
        <w:position w:val="0"/>
        <w:sz w:val="20"/>
        <w:sz w:val="20"/>
        <w:szCs w:val="20"/>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864" w:hanging="864"/>
      </w:pPr>
      <w:rPr>
        <w:vertAlign w:val="baseline"/>
        <w:position w:val="0"/>
        <w:sz w:val="22"/>
        <w:sz w:val="22"/>
      </w:rPr>
    </w:lvl>
    <w:lvl w:ilvl="4">
      <w:start w:val="1"/>
      <w:numFmt w:val="decimal"/>
      <w:lvlText w:val="%1.%2.%3.%4.%5"/>
      <w:lvlJc w:val="left"/>
      <w:pPr>
        <w:tabs>
          <w:tab w:val="num" w:pos="0"/>
        </w:tabs>
        <w:ind w:left="1008" w:hanging="1008"/>
      </w:pPr>
      <w:rPr>
        <w:vertAlign w:val="baseline"/>
        <w:position w:val="0"/>
        <w:sz w:val="22"/>
        <w:sz w:val="22"/>
      </w:rPr>
    </w:lvl>
    <w:lvl w:ilvl="5">
      <w:start w:val="1"/>
      <w:numFmt w:val="decimal"/>
      <w:lvlText w:val="%1.%2.%3.%4.%5.%6"/>
      <w:lvlJc w:val="left"/>
      <w:pPr>
        <w:tabs>
          <w:tab w:val="num" w:pos="0"/>
        </w:tabs>
        <w:ind w:left="1152" w:hanging="1152"/>
      </w:pPr>
      <w:rPr>
        <w:vertAlign w:val="baseline"/>
        <w:position w:val="0"/>
        <w:sz w:val="22"/>
        <w:sz w:val="22"/>
      </w:rPr>
    </w:lvl>
    <w:lvl w:ilvl="6">
      <w:start w:val="1"/>
      <w:numFmt w:val="decimal"/>
      <w:lvlText w:val="%1.%2.%3.%4.%5.%6.%7"/>
      <w:lvlJc w:val="left"/>
      <w:pPr>
        <w:tabs>
          <w:tab w:val="num" w:pos="0"/>
        </w:tabs>
        <w:ind w:left="1296" w:hanging="1296"/>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584" w:hanging="1584"/>
      </w:pPr>
      <w:rPr>
        <w:vertAlign w:val="baseline"/>
        <w:position w:val="0"/>
        <w:sz w:val="22"/>
        <w:sz w:val="22"/>
      </w:rPr>
    </w:lvl>
  </w:abstractNum>
  <w:abstractNum w:abstractNumId="7">
    <w:lvl w:ilvl="0">
      <w:start w:val="1"/>
      <w:numFmt w:val="decimal"/>
      <w:lvlText w:val="%1"/>
      <w:lvlJc w:val="left"/>
      <w:pPr>
        <w:tabs>
          <w:tab w:val="num" w:pos="0"/>
        </w:tabs>
        <w:ind w:left="360" w:hanging="360"/>
      </w:pPr>
      <w:rPr>
        <w:vertAlign w:val="baseline"/>
        <w:position w:val="0"/>
        <w:sz w:val="22"/>
        <w:sz w:val="22"/>
      </w:rPr>
    </w:lvl>
    <w:lvl w:ilvl="1">
      <w:start w:val="1"/>
      <w:numFmt w:val="decimal"/>
      <w:lvlText w:val="%1.%2"/>
      <w:lvlJc w:val="left"/>
      <w:pPr>
        <w:tabs>
          <w:tab w:val="num" w:pos="0"/>
        </w:tabs>
        <w:ind w:left="792" w:hanging="432"/>
      </w:pPr>
      <w:rPr>
        <w:vertAlign w:val="baseline"/>
        <w:position w:val="0"/>
        <w:sz w:val="22"/>
        <w:sz w:val="22"/>
      </w:rPr>
    </w:lvl>
    <w:lvl w:ilvl="2">
      <w:start w:val="1"/>
      <w:numFmt w:val="decimal"/>
      <w:lvlText w:val="%1.%2.%3"/>
      <w:lvlJc w:val="left"/>
      <w:pPr>
        <w:tabs>
          <w:tab w:val="num" w:pos="0"/>
        </w:tabs>
        <w:ind w:left="1224" w:hanging="504"/>
      </w:pPr>
      <w:rPr>
        <w:vertAlign w:val="baseline"/>
        <w:position w:val="0"/>
        <w:sz w:val="22"/>
        <w:sz w:val="22"/>
      </w:rPr>
    </w:lvl>
    <w:lvl w:ilvl="3">
      <w:start w:val="1"/>
      <w:numFmt w:val="decimal"/>
      <w:lvlText w:val="%1.%2.%3.%4"/>
      <w:lvlJc w:val="left"/>
      <w:pPr>
        <w:tabs>
          <w:tab w:val="num" w:pos="0"/>
        </w:tabs>
        <w:ind w:left="1728" w:hanging="647"/>
      </w:pPr>
      <w:rPr>
        <w:vertAlign w:val="baseline"/>
        <w:position w:val="0"/>
        <w:sz w:val="22"/>
        <w:sz w:val="22"/>
      </w:rPr>
    </w:lvl>
    <w:lvl w:ilvl="4">
      <w:start w:val="1"/>
      <w:numFmt w:val="decimal"/>
      <w:lvlText w:val="%1.%2.%3.%4.%5."/>
      <w:lvlJc w:val="left"/>
      <w:pPr>
        <w:tabs>
          <w:tab w:val="num" w:pos="0"/>
        </w:tabs>
        <w:ind w:left="2232" w:hanging="792"/>
      </w:pPr>
      <w:rPr>
        <w:vertAlign w:val="baseline"/>
        <w:position w:val="0"/>
        <w:sz w:val="22"/>
        <w:sz w:val="22"/>
      </w:rPr>
    </w:lvl>
    <w:lvl w:ilvl="5">
      <w:start w:val="1"/>
      <w:numFmt w:val="decimal"/>
      <w:lvlText w:val="%1.%2.%3.%4.%5.%6."/>
      <w:lvlJc w:val="left"/>
      <w:pPr>
        <w:tabs>
          <w:tab w:val="num" w:pos="0"/>
        </w:tabs>
        <w:ind w:left="2736" w:hanging="935"/>
      </w:pPr>
      <w:rPr>
        <w:vertAlign w:val="baseline"/>
        <w:position w:val="0"/>
        <w:sz w:val="22"/>
        <w:sz w:val="22"/>
      </w:rPr>
    </w:lvl>
    <w:lvl w:ilvl="6">
      <w:start w:val="1"/>
      <w:numFmt w:val="decimal"/>
      <w:lvlText w:val="%1.%2.%3.%4.%5.%6.%7."/>
      <w:lvlJc w:val="left"/>
      <w:pPr>
        <w:tabs>
          <w:tab w:val="num" w:pos="0"/>
        </w:tabs>
        <w:ind w:left="3240" w:hanging="1080"/>
      </w:pPr>
      <w:rPr>
        <w:vertAlign w:val="baseline"/>
        <w:position w:val="0"/>
        <w:sz w:val="22"/>
        <w:sz w:val="22"/>
      </w:rPr>
    </w:lvl>
    <w:lvl w:ilvl="7">
      <w:start w:val="1"/>
      <w:numFmt w:val="decimal"/>
      <w:lvlText w:val="%1.%2.%3.%4.%5.%6.%7.%8."/>
      <w:lvlJc w:val="left"/>
      <w:pPr>
        <w:tabs>
          <w:tab w:val="num" w:pos="0"/>
        </w:tabs>
        <w:ind w:left="3744" w:hanging="1224"/>
      </w:pPr>
      <w:rPr>
        <w:vertAlign w:val="baseline"/>
        <w:position w:val="0"/>
        <w:sz w:val="22"/>
        <w:sz w:val="22"/>
      </w:rPr>
    </w:lvl>
    <w:lvl w:ilvl="8">
      <w:start w:val="1"/>
      <w:numFmt w:val="decimal"/>
      <w:lvlText w:val="%1.%2.%3.%4.%5.%6.%7.%8.%9."/>
      <w:lvlJc w:val="left"/>
      <w:pPr>
        <w:tabs>
          <w:tab w:val="num" w:pos="0"/>
        </w:tabs>
        <w:ind w:left="4320" w:hanging="1440"/>
      </w:pPr>
      <w:rPr>
        <w:vertAlign w:val="baseline"/>
        <w:position w:val="0"/>
        <w:sz w:val="22"/>
        <w:sz w:val="22"/>
      </w:rPr>
    </w:lvl>
  </w:abstractNum>
  <w:abstractNum w:abstractNumId="8">
    <w:lvl w:ilvl="0">
      <w:start w:val="2"/>
      <w:numFmt w:val="decimal"/>
      <w:lvlText w:val="%1"/>
      <w:lvlJc w:val="left"/>
      <w:pPr>
        <w:tabs>
          <w:tab w:val="num" w:pos="0"/>
        </w:tabs>
        <w:ind w:left="360" w:hanging="360"/>
      </w:pPr>
      <w:rPr>
        <w:vertAlign w:val="baseline"/>
        <w:position w:val="0"/>
        <w:sz w:val="22"/>
        <w:sz w:val="22"/>
      </w:rPr>
    </w:lvl>
    <w:lvl w:ilvl="1">
      <w:start w:val="7"/>
      <w:numFmt w:val="decimal"/>
      <w:lvlText w:val="%1.%2"/>
      <w:lvlJc w:val="left"/>
      <w:pPr>
        <w:tabs>
          <w:tab w:val="num" w:pos="0"/>
        </w:tabs>
        <w:ind w:left="792" w:hanging="432"/>
      </w:pPr>
      <w:rPr>
        <w:vertAlign w:val="baseline"/>
        <w:position w:val="0"/>
        <w:sz w:val="22"/>
        <w:sz w:val="22"/>
      </w:rPr>
    </w:lvl>
    <w:lvl w:ilvl="2">
      <w:start w:val="1"/>
      <w:numFmt w:val="decimal"/>
      <w:lvlText w:val="%1.%2.%3"/>
      <w:lvlJc w:val="left"/>
      <w:pPr>
        <w:tabs>
          <w:tab w:val="num" w:pos="0"/>
        </w:tabs>
        <w:ind w:left="1224" w:hanging="504"/>
      </w:pPr>
      <w:rPr>
        <w:vertAlign w:val="baseline"/>
        <w:position w:val="0"/>
        <w:sz w:val="22"/>
        <w:sz w:val="22"/>
      </w:rPr>
    </w:lvl>
    <w:lvl w:ilvl="3">
      <w:start w:val="1"/>
      <w:numFmt w:val="decimal"/>
      <w:lvlText w:val="%1.%2.%3.%4"/>
      <w:lvlJc w:val="left"/>
      <w:pPr>
        <w:tabs>
          <w:tab w:val="num" w:pos="0"/>
        </w:tabs>
        <w:ind w:left="1728" w:hanging="647"/>
      </w:pPr>
      <w:rPr>
        <w:vertAlign w:val="baseline"/>
        <w:position w:val="0"/>
        <w:sz w:val="22"/>
        <w:sz w:val="22"/>
      </w:rPr>
    </w:lvl>
    <w:lvl w:ilvl="4">
      <w:start w:val="1"/>
      <w:numFmt w:val="decimal"/>
      <w:lvlText w:val="%1.%2.%3.%4.%5."/>
      <w:lvlJc w:val="left"/>
      <w:pPr>
        <w:tabs>
          <w:tab w:val="num" w:pos="0"/>
        </w:tabs>
        <w:ind w:left="2232" w:hanging="792"/>
      </w:pPr>
      <w:rPr>
        <w:vertAlign w:val="baseline"/>
        <w:position w:val="0"/>
        <w:sz w:val="22"/>
        <w:sz w:val="22"/>
      </w:rPr>
    </w:lvl>
    <w:lvl w:ilvl="5">
      <w:start w:val="1"/>
      <w:numFmt w:val="decimal"/>
      <w:lvlText w:val="%1.%2.%3.%4.%5.%6."/>
      <w:lvlJc w:val="left"/>
      <w:pPr>
        <w:tabs>
          <w:tab w:val="num" w:pos="0"/>
        </w:tabs>
        <w:ind w:left="2736" w:hanging="935"/>
      </w:pPr>
      <w:rPr>
        <w:vertAlign w:val="baseline"/>
        <w:position w:val="0"/>
        <w:sz w:val="22"/>
        <w:sz w:val="22"/>
      </w:rPr>
    </w:lvl>
    <w:lvl w:ilvl="6">
      <w:start w:val="1"/>
      <w:numFmt w:val="decimal"/>
      <w:lvlText w:val="%1.%2.%3.%4.%5.%6.%7."/>
      <w:lvlJc w:val="left"/>
      <w:pPr>
        <w:tabs>
          <w:tab w:val="num" w:pos="0"/>
        </w:tabs>
        <w:ind w:left="3240" w:hanging="1080"/>
      </w:pPr>
      <w:rPr>
        <w:vertAlign w:val="baseline"/>
        <w:position w:val="0"/>
        <w:sz w:val="22"/>
        <w:sz w:val="22"/>
      </w:rPr>
    </w:lvl>
    <w:lvl w:ilvl="7">
      <w:start w:val="1"/>
      <w:numFmt w:val="decimal"/>
      <w:lvlText w:val="%1.%2.%3.%4.%5.%6.%7.%8."/>
      <w:lvlJc w:val="left"/>
      <w:pPr>
        <w:tabs>
          <w:tab w:val="num" w:pos="0"/>
        </w:tabs>
        <w:ind w:left="3744" w:hanging="1224"/>
      </w:pPr>
      <w:rPr>
        <w:vertAlign w:val="baseline"/>
        <w:position w:val="0"/>
        <w:sz w:val="22"/>
        <w:sz w:val="22"/>
      </w:rPr>
    </w:lvl>
    <w:lvl w:ilvl="8">
      <w:start w:val="1"/>
      <w:numFmt w:val="decimal"/>
      <w:lvlText w:val="%1.%2.%3.%4.%5.%6.%7.%8.%9."/>
      <w:lvlJc w:val="left"/>
      <w:pPr>
        <w:tabs>
          <w:tab w:val="num" w:pos="0"/>
        </w:tabs>
        <w:ind w:left="4320" w:hanging="1440"/>
      </w:pPr>
      <w:rPr>
        <w:vertAlign w:val="baseline"/>
        <w:position w:val="0"/>
        <w:sz w:val="22"/>
        <w:sz w:val="22"/>
      </w:rPr>
    </w:lvl>
  </w:abstractNum>
  <w:abstractNum w:abstractNumId="9">
    <w:lvl w:ilvl="0">
      <w:start w:val="1"/>
      <w:numFmt w:val="lowerLetter"/>
      <w:lvlText w:val="%1)"/>
      <w:lvlJc w:val="left"/>
      <w:pPr>
        <w:tabs>
          <w:tab w:val="num" w:pos="0"/>
        </w:tabs>
        <w:ind w:left="360" w:hanging="360"/>
      </w:pPr>
      <w:rPr>
        <w:vertAlign w:val="baseline"/>
        <w:position w:val="0"/>
        <w:sz w:val="22"/>
        <w:sz w:val="22"/>
        <w:b/>
      </w:rPr>
    </w:lvl>
    <w:lvl w:ilvl="1">
      <w:start w:val="1"/>
      <w:numFmt w:val="decimal"/>
      <w:lvlText w:val="%2."/>
      <w:lvlJc w:val="left"/>
      <w:pPr>
        <w:tabs>
          <w:tab w:val="num" w:pos="0"/>
        </w:tabs>
        <w:ind w:left="1080" w:hanging="360"/>
      </w:pPr>
      <w:rPr>
        <w:vertAlign w:val="baseline"/>
        <w:position w:val="0"/>
        <w:sz w:val="22"/>
        <w:sz w:val="22"/>
      </w:rPr>
    </w:lvl>
    <w:lvl w:ilvl="2">
      <w:start w:val="1"/>
      <w:numFmt w:val="decimal"/>
      <w:lvlText w:val="%3."/>
      <w:lvlJc w:val="left"/>
      <w:pPr>
        <w:tabs>
          <w:tab w:val="num" w:pos="0"/>
        </w:tabs>
        <w:ind w:left="1440" w:hanging="360"/>
      </w:pPr>
      <w:rPr>
        <w:vertAlign w:val="baseline"/>
        <w:position w:val="0"/>
        <w:sz w:val="22"/>
        <w:sz w:val="22"/>
      </w:rPr>
    </w:lvl>
    <w:lvl w:ilvl="3">
      <w:start w:val="1"/>
      <w:numFmt w:val="decimal"/>
      <w:lvlText w:val="%4."/>
      <w:lvlJc w:val="left"/>
      <w:pPr>
        <w:tabs>
          <w:tab w:val="num" w:pos="0"/>
        </w:tabs>
        <w:ind w:left="1800" w:hanging="360"/>
      </w:pPr>
      <w:rPr>
        <w:vertAlign w:val="baseline"/>
        <w:position w:val="0"/>
        <w:sz w:val="22"/>
        <w:sz w:val="22"/>
      </w:rPr>
    </w:lvl>
    <w:lvl w:ilvl="4">
      <w:start w:val="1"/>
      <w:numFmt w:val="decimal"/>
      <w:lvlText w:val="%5."/>
      <w:lvlJc w:val="left"/>
      <w:pPr>
        <w:tabs>
          <w:tab w:val="num" w:pos="0"/>
        </w:tabs>
        <w:ind w:left="2160" w:hanging="360"/>
      </w:pPr>
      <w:rPr>
        <w:vertAlign w:val="baseline"/>
        <w:position w:val="0"/>
        <w:sz w:val="22"/>
        <w:sz w:val="22"/>
      </w:rPr>
    </w:lvl>
    <w:lvl w:ilvl="5">
      <w:start w:val="1"/>
      <w:numFmt w:val="decimal"/>
      <w:lvlText w:val="%6."/>
      <w:lvlJc w:val="left"/>
      <w:pPr>
        <w:tabs>
          <w:tab w:val="num" w:pos="0"/>
        </w:tabs>
        <w:ind w:left="2520" w:hanging="360"/>
      </w:pPr>
      <w:rPr>
        <w:vertAlign w:val="baseline"/>
        <w:position w:val="0"/>
        <w:sz w:val="22"/>
        <w:sz w:val="22"/>
      </w:rPr>
    </w:lvl>
    <w:lvl w:ilvl="6">
      <w:start w:val="1"/>
      <w:numFmt w:val="decimal"/>
      <w:lvlText w:val="%7."/>
      <w:lvlJc w:val="left"/>
      <w:pPr>
        <w:tabs>
          <w:tab w:val="num" w:pos="0"/>
        </w:tabs>
        <w:ind w:left="2880" w:hanging="360"/>
      </w:pPr>
      <w:rPr>
        <w:vertAlign w:val="baseline"/>
        <w:position w:val="0"/>
        <w:sz w:val="22"/>
        <w:sz w:val="22"/>
      </w:rPr>
    </w:lvl>
    <w:lvl w:ilvl="7">
      <w:start w:val="1"/>
      <w:numFmt w:val="decimal"/>
      <w:lvlText w:val="%8."/>
      <w:lvlJc w:val="left"/>
      <w:pPr>
        <w:tabs>
          <w:tab w:val="num" w:pos="0"/>
        </w:tabs>
        <w:ind w:left="3240" w:hanging="360"/>
      </w:pPr>
      <w:rPr>
        <w:vertAlign w:val="baseline"/>
        <w:position w:val="0"/>
        <w:sz w:val="22"/>
        <w:sz w:val="22"/>
      </w:rPr>
    </w:lvl>
    <w:lvl w:ilvl="8">
      <w:start w:val="1"/>
      <w:numFmt w:val="decimal"/>
      <w:lvlText w:val="%9."/>
      <w:lvlJc w:val="left"/>
      <w:pPr>
        <w:tabs>
          <w:tab w:val="num" w:pos="0"/>
        </w:tabs>
        <w:ind w:left="3600" w:hanging="360"/>
      </w:pPr>
      <w:rPr>
        <w:vertAlign w:val="baseline"/>
        <w:position w:val="0"/>
        <w:sz w:val="22"/>
        <w:sz w:val="22"/>
      </w:rPr>
    </w:lvl>
  </w:abstractNum>
  <w:abstractNum w:abstractNumId="10">
    <w:lvl w:ilvl="0">
      <w:start w:val="1"/>
      <w:numFmt w:val="lowerLetter"/>
      <w:lvlText w:val="%1)"/>
      <w:lvlJc w:val="left"/>
      <w:pPr>
        <w:tabs>
          <w:tab w:val="num" w:pos="0"/>
        </w:tabs>
        <w:ind w:left="432" w:hanging="432"/>
      </w:pPr>
      <w:rPr>
        <w:vertAlign w:val="baseline"/>
        <w:position w:val="0"/>
        <w:sz w:val="22"/>
        <w:sz w:val="22"/>
      </w:rPr>
    </w:lvl>
    <w:lvl w:ilvl="1">
      <w:start w:val="1"/>
      <w:numFmt w:val="decimal"/>
      <w:lvlText w:val="%1.%2)"/>
      <w:lvlJc w:val="left"/>
      <w:pPr>
        <w:tabs>
          <w:tab w:val="num" w:pos="0"/>
        </w:tabs>
        <w:ind w:left="1427" w:hanging="576"/>
      </w:pPr>
      <w:rPr>
        <w:vertAlign w:val="baseline"/>
        <w:position w:val="0"/>
        <w:sz w:val="22"/>
        <w:sz w:val="22"/>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864" w:hanging="864"/>
      </w:pPr>
      <w:rPr>
        <w:vertAlign w:val="baseline"/>
        <w:position w:val="0"/>
        <w:sz w:val="22"/>
        <w:sz w:val="22"/>
      </w:rPr>
    </w:lvl>
    <w:lvl w:ilvl="4">
      <w:start w:val="1"/>
      <w:numFmt w:val="decimal"/>
      <w:lvlText w:val="%1.%2.%3.%4.%5"/>
      <w:lvlJc w:val="left"/>
      <w:pPr>
        <w:tabs>
          <w:tab w:val="num" w:pos="0"/>
        </w:tabs>
        <w:ind w:left="1008" w:hanging="1008"/>
      </w:pPr>
      <w:rPr>
        <w:vertAlign w:val="baseline"/>
        <w:position w:val="0"/>
        <w:sz w:val="22"/>
        <w:sz w:val="22"/>
      </w:rPr>
    </w:lvl>
    <w:lvl w:ilvl="5">
      <w:start w:val="1"/>
      <w:numFmt w:val="decimal"/>
      <w:lvlText w:val="%1.%2.%3.%4.%5.%6"/>
      <w:lvlJc w:val="left"/>
      <w:pPr>
        <w:tabs>
          <w:tab w:val="num" w:pos="0"/>
        </w:tabs>
        <w:ind w:left="1152" w:hanging="1152"/>
      </w:pPr>
      <w:rPr>
        <w:vertAlign w:val="baseline"/>
        <w:position w:val="0"/>
        <w:sz w:val="22"/>
        <w:sz w:val="22"/>
      </w:rPr>
    </w:lvl>
    <w:lvl w:ilvl="6">
      <w:start w:val="1"/>
      <w:numFmt w:val="decimal"/>
      <w:lvlText w:val="%1.%2.%3.%4.%5.%6.%7"/>
      <w:lvlJc w:val="left"/>
      <w:pPr>
        <w:tabs>
          <w:tab w:val="num" w:pos="0"/>
        </w:tabs>
        <w:ind w:left="1296" w:hanging="1296"/>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584" w:hanging="1584"/>
      </w:pPr>
      <w:rPr>
        <w:vertAlign w:val="baseline"/>
        <w:position w:val="0"/>
        <w:sz w:val="22"/>
        <w:sz w:val="22"/>
      </w:rPr>
    </w:lvl>
  </w:abstractNum>
  <w:abstractNum w:abstractNumId="11">
    <w:lvl w:ilvl="0">
      <w:start w:val="1"/>
      <w:numFmt w:val="lowerLetter"/>
      <w:lvlText w:val="%1)"/>
      <w:lvlJc w:val="left"/>
      <w:pPr>
        <w:tabs>
          <w:tab w:val="num" w:pos="0"/>
        </w:tabs>
        <w:ind w:left="720" w:hanging="360"/>
      </w:pPr>
      <w:rPr>
        <w:vertAlign w:val="baseline"/>
        <w:position w:val="0"/>
        <w:sz w:val="20"/>
        <w:sz w:val="20"/>
        <w:b w:val="false"/>
        <w:szCs w:val="20"/>
        <w:rFonts w:ascii="Arial" w:hAnsi="Arial" w:eastAsia="Arial" w:cs="Arial"/>
        <w:color w:val="000000"/>
      </w:rPr>
    </w:lvl>
    <w:lvl w:ilvl="1">
      <w:start w:val="1"/>
      <w:numFmt w:val="decimal"/>
      <w:lvlText w:val="%1.%2"/>
      <w:lvlJc w:val="left"/>
      <w:pPr>
        <w:tabs>
          <w:tab w:val="num" w:pos="0"/>
        </w:tabs>
        <w:ind w:left="1080" w:hanging="360"/>
      </w:pPr>
      <w:rPr>
        <w:vertAlign w:val="baseline"/>
        <w:position w:val="0"/>
        <w:sz w:val="20"/>
        <w:sz w:val="20"/>
        <w:b w:val="false"/>
        <w:szCs w:val="20"/>
        <w:rFonts w:ascii="Arial" w:hAnsi="Arial" w:eastAsia="Arial" w:cs="Arial"/>
        <w:color w:val="000000"/>
      </w:rPr>
    </w:lvl>
    <w:lvl w:ilvl="2">
      <w:start w:val="1"/>
      <w:numFmt w:val="decimal"/>
      <w:lvlText w:val="%1.%2.%3"/>
      <w:lvlJc w:val="left"/>
      <w:pPr>
        <w:tabs>
          <w:tab w:val="num" w:pos="0"/>
        </w:tabs>
        <w:ind w:left="1440" w:hanging="360"/>
      </w:pPr>
      <w:rPr>
        <w:vertAlign w:val="baseline"/>
        <w:position w:val="0"/>
        <w:sz w:val="20"/>
        <w:sz w:val="20"/>
        <w:b w:val="false"/>
        <w:szCs w:val="20"/>
        <w:rFonts w:ascii="Arial" w:hAnsi="Arial" w:eastAsia="Arial" w:cs="Arial"/>
        <w:color w:val="000000"/>
      </w:rPr>
    </w:lvl>
    <w:lvl w:ilvl="3">
      <w:start w:val="1"/>
      <w:numFmt w:val="decimal"/>
      <w:lvlText w:val="%1.%2.%3.%4"/>
      <w:lvlJc w:val="left"/>
      <w:pPr>
        <w:tabs>
          <w:tab w:val="num" w:pos="0"/>
        </w:tabs>
        <w:ind w:left="1800" w:hanging="360"/>
      </w:pPr>
      <w:rPr>
        <w:vertAlign w:val="baseline"/>
        <w:position w:val="0"/>
        <w:sz w:val="20"/>
        <w:sz w:val="20"/>
        <w:b w:val="false"/>
        <w:szCs w:val="20"/>
        <w:rFonts w:ascii="Arial" w:hAnsi="Arial" w:eastAsia="Arial" w:cs="Arial"/>
        <w:color w:val="000000"/>
      </w:rPr>
    </w:lvl>
    <w:lvl w:ilvl="4">
      <w:start w:val="1"/>
      <w:numFmt w:val="decimal"/>
      <w:lvlText w:val="%1.%2.%3.%4.%5"/>
      <w:lvlJc w:val="left"/>
      <w:pPr>
        <w:tabs>
          <w:tab w:val="num" w:pos="0"/>
        </w:tabs>
        <w:ind w:left="2160" w:hanging="360"/>
      </w:pPr>
      <w:rPr>
        <w:vertAlign w:val="baseline"/>
        <w:position w:val="0"/>
        <w:sz w:val="20"/>
        <w:sz w:val="20"/>
        <w:b w:val="false"/>
        <w:szCs w:val="20"/>
        <w:rFonts w:ascii="Arial" w:hAnsi="Arial" w:eastAsia="Arial" w:cs="Arial"/>
        <w:color w:val="000000"/>
      </w:rPr>
    </w:lvl>
    <w:lvl w:ilvl="5">
      <w:start w:val="1"/>
      <w:numFmt w:val="decimal"/>
      <w:lvlText w:val="%1.%2.%3.%4.%5.%6"/>
      <w:lvlJc w:val="left"/>
      <w:pPr>
        <w:tabs>
          <w:tab w:val="num" w:pos="0"/>
        </w:tabs>
        <w:ind w:left="2520" w:hanging="360"/>
      </w:pPr>
      <w:rPr>
        <w:vertAlign w:val="baseline"/>
        <w:position w:val="0"/>
        <w:sz w:val="20"/>
        <w:sz w:val="20"/>
        <w:b w:val="false"/>
        <w:szCs w:val="20"/>
        <w:rFonts w:ascii="Arial" w:hAnsi="Arial" w:eastAsia="Arial" w:cs="Arial"/>
        <w:color w:val="000000"/>
      </w:rPr>
    </w:lvl>
    <w:lvl w:ilvl="6">
      <w:start w:val="1"/>
      <w:numFmt w:val="decimal"/>
      <w:lvlText w:val="%1.%2.%3.%4.%5.%6.%7"/>
      <w:lvlJc w:val="left"/>
      <w:pPr>
        <w:tabs>
          <w:tab w:val="num" w:pos="0"/>
        </w:tabs>
        <w:ind w:left="2880" w:hanging="360"/>
      </w:pPr>
      <w:rPr>
        <w:vertAlign w:val="baseline"/>
        <w:position w:val="0"/>
        <w:sz w:val="20"/>
        <w:sz w:val="20"/>
        <w:b w:val="false"/>
        <w:szCs w:val="20"/>
        <w:rFonts w:ascii="Arial" w:hAnsi="Arial" w:eastAsia="Arial" w:cs="Arial"/>
        <w:color w:val="000000"/>
      </w:rPr>
    </w:lvl>
    <w:lvl w:ilvl="7">
      <w:start w:val="1"/>
      <w:numFmt w:val="decimal"/>
      <w:lvlText w:val="%1.%2.%3.%4.%5.%6.%7.%8"/>
      <w:lvlJc w:val="left"/>
      <w:pPr>
        <w:tabs>
          <w:tab w:val="num" w:pos="0"/>
        </w:tabs>
        <w:ind w:left="3240" w:hanging="360"/>
      </w:pPr>
      <w:rPr>
        <w:vertAlign w:val="baseline"/>
        <w:position w:val="0"/>
        <w:sz w:val="20"/>
        <w:sz w:val="20"/>
        <w:b w:val="false"/>
        <w:szCs w:val="20"/>
        <w:rFonts w:ascii="Arial" w:hAnsi="Arial" w:eastAsia="Arial" w:cs="Arial"/>
        <w:color w:val="000000"/>
      </w:rPr>
    </w:lvl>
    <w:lvl w:ilvl="8">
      <w:start w:val="1"/>
      <w:numFmt w:val="decimal"/>
      <w:lvlText w:val="%1.%2.%3.%4.%5.%6.%7.%8.%9"/>
      <w:lvlJc w:val="left"/>
      <w:pPr>
        <w:tabs>
          <w:tab w:val="num" w:pos="0"/>
        </w:tabs>
        <w:ind w:left="3600" w:hanging="360"/>
      </w:pPr>
      <w:rPr>
        <w:vertAlign w:val="baseline"/>
        <w:position w:val="0"/>
        <w:sz w:val="20"/>
        <w:sz w:val="20"/>
        <w:b w:val="false"/>
        <w:szCs w:val="20"/>
        <w:rFonts w:ascii="Arial" w:hAnsi="Arial" w:eastAsia="Arial" w:cs="Arial"/>
        <w:color w:val="00000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next w:val="Normal1"/>
    <w:qFormat/>
    <w:pPr>
      <w:keepNext w:val="false"/>
      <w:keepLines w:val="false"/>
      <w:pageBreakBefore w:val="false"/>
      <w:widowControl/>
      <w:shd w:val="clear" w:color="auto" w:fill="auto"/>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color w:val="auto"/>
      <w:spacing w:val="0"/>
      <w:w w:val="100"/>
      <w:kern w:val="2"/>
      <w:position w:val="0"/>
      <w:sz w:val="22"/>
      <w:sz w:val="22"/>
      <w:szCs w:val="22"/>
      <w:u w:val="none"/>
      <w:effect w:val="none"/>
      <w:vertAlign w:val="baseline"/>
      <w:em w:val="none"/>
      <w:lang w:val="pt-BR" w:eastAsia="zh-CN" w:bidi="ar-SA"/>
    </w:rPr>
  </w:style>
  <w:style w:type="paragraph" w:styleId="Heading1">
    <w:name w:val="Heading 1"/>
    <w:basedOn w:val="Padro"/>
    <w:next w:val="Recuodecorpodetexto21"/>
    <w:qFormat/>
    <w:pPr>
      <w:keepNext w:val="false"/>
      <w:keepLines w:val="false"/>
      <w:pageBreakBefore w:val="false"/>
      <w:widowControl w:val="false"/>
      <w:numPr>
        <w:ilvl w:val="0"/>
        <w:numId w:val="1"/>
      </w:numPr>
      <w:shd w:val="clear" w:color="auto" w:fill="FFFFFF"/>
      <w:suppressAutoHyphens w:val="false"/>
      <w:overflowPunct w:val="true"/>
      <w:bidi w:val="0"/>
      <w:spacing w:lineRule="auto" w:line="240"/>
      <w:jc w:val="left"/>
      <w:textAlignment w:val="baseline"/>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32"/>
      <w:sz w:val="32"/>
      <w:szCs w:val="32"/>
      <w:u w:val="none"/>
      <w:effect w:val="none"/>
      <w:vertAlign w:val="baseline"/>
      <w:em w:val="none"/>
      <w:lang w:val="en-US" w:eastAsia="zh-CN" w:bidi="hi-IN"/>
    </w:rPr>
  </w:style>
  <w:style w:type="paragraph" w:styleId="Heading2">
    <w:name w:val="Heading 2"/>
    <w:basedOn w:val="Padro"/>
    <w:next w:val="Recuodecorpodetexto21"/>
    <w:qFormat/>
    <w:pPr>
      <w:keepNext w:val="false"/>
      <w:keepLines w:val="false"/>
      <w:pageBreakBefore w:val="false"/>
      <w:widowControl w:val="false"/>
      <w:numPr>
        <w:ilvl w:val="1"/>
        <w:numId w:val="1"/>
      </w:numPr>
      <w:shd w:val="clear" w:color="auto" w:fill="FFFFFF"/>
      <w:suppressAutoHyphens w:val="false"/>
      <w:overflowPunct w:val="true"/>
      <w:bidi w:val="0"/>
      <w:spacing w:lineRule="auto" w:line="240"/>
      <w:jc w:val="left"/>
      <w:textAlignment w:val="baseline"/>
      <w:outlineLvl w:val="1"/>
    </w:pPr>
    <w:rPr>
      <w:rFonts w:ascii="Times New Roman" w:hAnsi="Times New Roman" w:eastAsia="Times New Roman" w:cs="Times New Roman"/>
      <w:b/>
      <w:bCs/>
      <w:i/>
      <w:iCs/>
      <w:caps w:val="false"/>
      <w:smallCaps w:val="false"/>
      <w:strike w:val="false"/>
      <w:dstrike w:val="false"/>
      <w:outline w:val="false"/>
      <w:spacing w:val="0"/>
      <w:w w:val="100"/>
      <w:kern w:val="2"/>
      <w:position w:val="0"/>
      <w:sz w:val="24"/>
      <w:sz w:val="24"/>
      <w:szCs w:val="20"/>
      <w:u w:val="none"/>
      <w:effect w:val="none"/>
      <w:vertAlign w:val="baseline"/>
      <w:em w:val="none"/>
      <w:lang w:val="en-US" w:eastAsia="zh-CN" w:bidi="hi-IN"/>
    </w:rPr>
  </w:style>
  <w:style w:type="paragraph" w:styleId="Heading3">
    <w:name w:val="Heading 3"/>
    <w:basedOn w:val="Padro"/>
    <w:next w:val="Recuodecorpodetexto21"/>
    <w:qFormat/>
    <w:pPr>
      <w:keepNext w:val="false"/>
      <w:keepLines w:val="false"/>
      <w:pageBreakBefore w:val="false"/>
      <w:widowControl w:val="false"/>
      <w:numPr>
        <w:ilvl w:val="2"/>
        <w:numId w:val="1"/>
      </w:numPr>
      <w:shd w:val="clear" w:color="auto" w:fill="FFFFFF"/>
      <w:suppressAutoHyphens w:val="false"/>
      <w:overflowPunct w:val="true"/>
      <w:bidi w:val="0"/>
      <w:spacing w:lineRule="auto" w:line="240"/>
      <w:jc w:val="left"/>
      <w:textAlignment w:val="baseline"/>
      <w:outlineLvl w:val="2"/>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24"/>
      <w:sz w:val="24"/>
      <w:szCs w:val="20"/>
      <w:u w:val="none"/>
      <w:effect w:val="none"/>
      <w:vertAlign w:val="baseline"/>
      <w:em w:val="none"/>
      <w:lang w:val="en-US" w:eastAsia="zh-CN" w:bidi="hi-IN"/>
    </w:rPr>
  </w:style>
  <w:style w:type="paragraph" w:styleId="Heading4">
    <w:name w:val="Heading 4"/>
    <w:basedOn w:val="Padro"/>
    <w:next w:val="Recuodecorpodetexto21"/>
    <w:qFormat/>
    <w:pPr>
      <w:keepNext w:val="false"/>
      <w:keepLines w:val="false"/>
      <w:pageBreakBefore w:val="false"/>
      <w:widowControl w:val="false"/>
      <w:numPr>
        <w:ilvl w:val="3"/>
        <w:numId w:val="1"/>
      </w:numPr>
      <w:shd w:val="clear" w:color="auto" w:fill="FFFFFF"/>
      <w:suppressAutoHyphens w:val="false"/>
      <w:overflowPunct w:val="true"/>
      <w:bidi w:val="0"/>
      <w:spacing w:lineRule="auto" w:line="240"/>
      <w:jc w:val="left"/>
      <w:textAlignment w:val="baseline"/>
      <w:outlineLvl w:val="3"/>
    </w:pPr>
    <w:rPr>
      <w:rFonts w:ascii="Times New Roman" w:hAnsi="Times New Roman" w:eastAsia="Times New Roman" w:cs="Times New Roman"/>
      <w:b/>
      <w:bCs/>
      <w:i/>
      <w:iCs/>
      <w:caps w:val="false"/>
      <w:smallCaps w:val="false"/>
      <w:strike w:val="false"/>
      <w:dstrike w:val="false"/>
      <w:outline w:val="false"/>
      <w:spacing w:val="0"/>
      <w:w w:val="100"/>
      <w:kern w:val="2"/>
      <w:position w:val="0"/>
      <w:sz w:val="24"/>
      <w:sz w:val="24"/>
      <w:szCs w:val="24"/>
      <w:u w:val="none"/>
      <w:effect w:val="none"/>
      <w:vertAlign w:val="baseline"/>
      <w:em w:val="none"/>
      <w:lang w:val="en-US" w:eastAsia="zh-CN" w:bidi="hi-IN"/>
    </w:rPr>
  </w:style>
  <w:style w:type="paragraph" w:styleId="Heading5">
    <w:name w:val="Heading 5"/>
    <w:basedOn w:val="Padro"/>
    <w:next w:val="Recuodecorpodetexto21"/>
    <w:qFormat/>
    <w:pPr>
      <w:keepNext w:val="false"/>
      <w:keepLines w:val="false"/>
      <w:pageBreakBefore w:val="false"/>
      <w:widowControl w:val="false"/>
      <w:numPr>
        <w:ilvl w:val="4"/>
        <w:numId w:val="1"/>
      </w:numPr>
      <w:shd w:val="clear" w:color="auto" w:fill="FFFFFF"/>
      <w:suppressAutoHyphens w:val="false"/>
      <w:overflowPunct w:val="true"/>
      <w:bidi w:val="0"/>
      <w:spacing w:lineRule="auto" w:line="240"/>
      <w:jc w:val="left"/>
      <w:textAlignment w:val="baseline"/>
      <w:outlineLvl w:val="4"/>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24"/>
      <w:sz w:val="24"/>
      <w:szCs w:val="24"/>
      <w:u w:val="none"/>
      <w:effect w:val="none"/>
      <w:vertAlign w:val="baseline"/>
      <w:em w:val="none"/>
      <w:lang w:val="en-US" w:eastAsia="zh-CN" w:bidi="hi-IN"/>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8">
    <w:name w:val="Heading 8"/>
    <w:basedOn w:val="Normal1"/>
    <w:next w:val="Normal1"/>
    <w:qFormat/>
    <w:pPr>
      <w:keepNext w:val="true"/>
      <w:keepLines w:val="false"/>
      <w:pageBreakBefore w:val="false"/>
      <w:widowControl/>
      <w:numPr>
        <w:ilvl w:val="7"/>
        <w:numId w:val="1"/>
      </w:numPr>
      <w:shd w:val="clear" w:color="auto" w:fill="FFFFFF"/>
      <w:suppressAutoHyphens w:val="false"/>
      <w:overflowPunct w:val="true"/>
      <w:bidi w:val="0"/>
      <w:spacing w:lineRule="auto" w:line="360" w:before="57" w:after="57"/>
      <w:ind w:hanging="0" w:left="-57" w:right="-57"/>
      <w:jc w:val="center"/>
      <w:textAlignment w:val="baseline"/>
      <w:outlineLvl w:val="7"/>
    </w:pPr>
    <w:rPr>
      <w:rFonts w:ascii="Tahoma" w:hAnsi="Tahoma" w:eastAsia="Tahoma" w:cs="Tahoma"/>
      <w:b/>
      <w:bCs/>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character" w:styleId="WW8Num2z0">
    <w:name w:val="WW8Num2z0"/>
    <w:qFormat/>
    <w:rPr>
      <w:rFonts w:ascii="Symbol" w:hAnsi="Symbol" w:cs="OpenSymbol"/>
      <w:color w:val="000000"/>
      <w:w w:val="100"/>
      <w:position w:val="0"/>
      <w:sz w:val="20"/>
      <w:sz w:val="20"/>
      <w:szCs w:val="20"/>
      <w:effect w:val="none"/>
      <w:vertAlign w:val="baseline"/>
      <w:em w:val="none"/>
    </w:rPr>
  </w:style>
  <w:style w:type="character" w:styleId="WW8Num3z0">
    <w:name w:val="WW8Num3z0"/>
    <w:qFormat/>
    <w:rPr>
      <w:rFonts w:ascii="Symbol" w:hAnsi="Symbol" w:cs="OpenSymbol"/>
      <w:w w:val="100"/>
      <w:position w:val="0"/>
      <w:sz w:val="20"/>
      <w:sz w:val="20"/>
      <w:szCs w:val="20"/>
      <w:effect w:val="none"/>
      <w:vertAlign w:val="baseline"/>
      <w:em w:val="none"/>
    </w:rPr>
  </w:style>
  <w:style w:type="character" w:styleId="WW8Num4z0">
    <w:name w:val="WW8Num4z0"/>
    <w:qFormat/>
    <w:rPr>
      <w:rFonts w:ascii="Tahoma" w:hAnsi="Tahoma" w:cs="Tahoma"/>
      <w:b/>
      <w:i w:val="false"/>
      <w:w w:val="100"/>
      <w:position w:val="0"/>
      <w:sz w:val="22"/>
      <w:sz w:val="22"/>
      <w:effect w:val="none"/>
      <w:vertAlign w:val="baseline"/>
      <w:em w:val="none"/>
    </w:rPr>
  </w:style>
  <w:style w:type="character" w:styleId="WW8Num7z0">
    <w:name w:val="WW8Num7z0"/>
    <w:qFormat/>
    <w:rPr>
      <w:b/>
      <w:w w:val="100"/>
      <w:position w:val="0"/>
      <w:sz w:val="22"/>
      <w:sz w:val="22"/>
      <w:effect w:val="none"/>
      <w:vertAlign w:val="baseline"/>
      <w:em w:val="none"/>
    </w:rPr>
  </w:style>
  <w:style w:type="character" w:styleId="WW8Num9z0">
    <w:name w:val="WW8Num9z0"/>
    <w:qFormat/>
    <w:rPr>
      <w:rFonts w:ascii="Arial" w:hAnsi="Arial" w:cs="Arial"/>
      <w:b w:val="false"/>
      <w:bCs w:val="false"/>
      <w:color w:val="000000"/>
      <w:w w:val="100"/>
      <w:position w:val="0"/>
      <w:sz w:val="20"/>
      <w:sz w:val="20"/>
      <w:effect w:val="none"/>
      <w:vertAlign w:val="baseline"/>
      <w:em w:val="none"/>
    </w:rPr>
  </w:style>
  <w:style w:type="character" w:styleId="WW8Num10z0">
    <w:name w:val="WW8Num10z0"/>
    <w:qFormat/>
    <w:rPr>
      <w:b/>
      <w:bCs/>
      <w:w w:val="100"/>
      <w:position w:val="0"/>
      <w:sz w:val="22"/>
      <w:sz w:val="22"/>
      <w:effect w:val="none"/>
      <w:vertAlign w:val="baseline"/>
      <w:em w:val="none"/>
    </w:rPr>
  </w:style>
  <w:style w:type="character" w:styleId="WW8Num11z0">
    <w:name w:val="WW8Num11z0"/>
    <w:qFormat/>
    <w:rPr>
      <w:b/>
      <w:bCs/>
      <w:w w:val="100"/>
      <w:position w:val="0"/>
      <w:sz w:val="22"/>
      <w:sz w:val="22"/>
      <w:effect w:val="none"/>
      <w:vertAlign w:val="baseline"/>
      <w:em w:val="none"/>
    </w:rPr>
  </w:style>
  <w:style w:type="character" w:styleId="WW8Num12z0">
    <w:name w:val="WW8Num12z0"/>
    <w:qFormat/>
    <w:rPr>
      <w:rFonts w:ascii="Arial" w:hAnsi="Arial" w:cs="Symbol"/>
      <w:w w:val="100"/>
      <w:position w:val="0"/>
      <w:sz w:val="20"/>
      <w:sz w:val="20"/>
      <w:effect w:val="none"/>
      <w:vertAlign w:val="baseline"/>
      <w:em w:val="none"/>
    </w:rPr>
  </w:style>
  <w:style w:type="character" w:styleId="WW8Num12z1">
    <w:name w:val="WW8Num12z1"/>
    <w:qFormat/>
    <w:rPr>
      <w:rFonts w:ascii="Courier New" w:hAnsi="Courier New" w:cs="Courier New"/>
      <w:w w:val="100"/>
      <w:position w:val="0"/>
      <w:sz w:val="20"/>
      <w:sz w:val="20"/>
      <w:effect w:val="none"/>
      <w:vertAlign w:val="baseline"/>
      <w:em w:val="none"/>
    </w:rPr>
  </w:style>
  <w:style w:type="character" w:styleId="WW8Num12z2">
    <w:name w:val="WW8Num12z2"/>
    <w:qFormat/>
    <w:rPr>
      <w:rFonts w:ascii="Wingdings" w:hAnsi="Wingdings" w:cs="Wingdings"/>
      <w:w w:val="100"/>
      <w:position w:val="0"/>
      <w:sz w:val="20"/>
      <w:sz w:val="20"/>
      <w:effect w:val="none"/>
      <w:vertAlign w:val="baseline"/>
      <w:em w:val="none"/>
    </w:rPr>
  </w:style>
  <w:style w:type="character" w:styleId="WW8Num4z1">
    <w:name w:val="WW8Num4z1"/>
    <w:qFormat/>
    <w:rPr>
      <w:rFonts w:ascii="Courier New" w:hAnsi="Courier New" w:cs="Courier New"/>
      <w:w w:val="100"/>
      <w:position w:val="0"/>
      <w:sz w:val="22"/>
      <w:sz w:val="22"/>
      <w:effect w:val="none"/>
      <w:vertAlign w:val="baseline"/>
      <w:em w:val="none"/>
    </w:rPr>
  </w:style>
  <w:style w:type="character" w:styleId="WW8Num4z2">
    <w:name w:val="WW8Num4z2"/>
    <w:qFormat/>
    <w:rPr>
      <w:rFonts w:ascii="Wingdings" w:hAnsi="Wingdings" w:cs="Wingdings"/>
      <w:w w:val="100"/>
      <w:position w:val="0"/>
      <w:sz w:val="22"/>
      <w:sz w:val="22"/>
      <w:effect w:val="none"/>
      <w:vertAlign w:val="baseline"/>
      <w:em w:val="none"/>
    </w:rPr>
  </w:style>
  <w:style w:type="character" w:styleId="WW8Num5z0">
    <w:name w:val="WW8Num5z0"/>
    <w:qFormat/>
    <w:rPr>
      <w:rFonts w:ascii="Tahoma" w:hAnsi="Tahoma" w:cs="Tahoma"/>
      <w:b/>
      <w:i w:val="false"/>
      <w:w w:val="100"/>
      <w:position w:val="0"/>
      <w:sz w:val="22"/>
      <w:sz w:val="22"/>
      <w:effect w:val="none"/>
      <w:vertAlign w:val="baseline"/>
      <w:em w:val="none"/>
    </w:rPr>
  </w:style>
  <w:style w:type="character" w:styleId="WW8Num15z0">
    <w:name w:val="WW8Num15z0"/>
    <w:qFormat/>
    <w:rPr>
      <w:b/>
      <w:bCs/>
      <w:w w:val="100"/>
      <w:position w:val="0"/>
      <w:sz w:val="22"/>
      <w:sz w:val="22"/>
      <w:effect w:val="none"/>
      <w:vertAlign w:val="baseline"/>
      <w:em w:val="none"/>
    </w:rPr>
  </w:style>
  <w:style w:type="character" w:styleId="WW8Num16z0">
    <w:name w:val="WW8Num16z0"/>
    <w:qFormat/>
    <w:rPr>
      <w:b/>
      <w:bCs/>
      <w:w w:val="100"/>
      <w:position w:val="0"/>
      <w:sz w:val="22"/>
      <w:sz w:val="22"/>
      <w:effect w:val="none"/>
      <w:vertAlign w:val="baseline"/>
      <w:em w:val="none"/>
    </w:rPr>
  </w:style>
  <w:style w:type="character" w:styleId="WW8Num17z0">
    <w:name w:val="WW8Num17z0"/>
    <w:qFormat/>
    <w:rPr>
      <w:rFonts w:ascii="Arial" w:hAnsi="Arial" w:cs="Symbol"/>
      <w:w w:val="100"/>
      <w:position w:val="0"/>
      <w:sz w:val="20"/>
      <w:sz w:val="20"/>
      <w:effect w:val="none"/>
      <w:vertAlign w:val="baseline"/>
      <w:em w:val="none"/>
    </w:rPr>
  </w:style>
  <w:style w:type="character" w:styleId="WW8Num17z1">
    <w:name w:val="WW8Num17z1"/>
    <w:qFormat/>
    <w:rPr>
      <w:rFonts w:ascii="Courier New" w:hAnsi="Courier New" w:cs="Courier New"/>
      <w:w w:val="100"/>
      <w:position w:val="0"/>
      <w:sz w:val="20"/>
      <w:sz w:val="20"/>
      <w:effect w:val="none"/>
      <w:vertAlign w:val="baseline"/>
      <w:em w:val="none"/>
    </w:rPr>
  </w:style>
  <w:style w:type="character" w:styleId="WW8Num17z2">
    <w:name w:val="WW8Num17z2"/>
    <w:qFormat/>
    <w:rPr>
      <w:rFonts w:ascii="Wingdings" w:hAnsi="Wingdings" w:cs="Wingdings"/>
      <w:w w:val="100"/>
      <w:position w:val="0"/>
      <w:sz w:val="20"/>
      <w:sz w:val="20"/>
      <w:effect w:val="none"/>
      <w:vertAlign w:val="baseline"/>
      <w:em w:val="none"/>
    </w:rPr>
  </w:style>
  <w:style w:type="character" w:styleId="WW8Num6z0">
    <w:name w:val="WW8Num6z0"/>
    <w:qFormat/>
    <w:rPr>
      <w:b/>
      <w:bCs/>
      <w:w w:val="100"/>
      <w:position w:val="0"/>
      <w:sz w:val="22"/>
      <w:sz w:val="22"/>
      <w:effect w:val="none"/>
      <w:vertAlign w:val="baseline"/>
      <w:em w:val="none"/>
    </w:rPr>
  </w:style>
  <w:style w:type="character" w:styleId="WW8Num11z1">
    <w:name w:val="WW8Num11z1"/>
    <w:qFormat/>
    <w:rPr>
      <w:rFonts w:ascii="Courier New" w:hAnsi="Courier New" w:cs="Courier New"/>
      <w:w w:val="100"/>
      <w:position w:val="0"/>
      <w:sz w:val="20"/>
      <w:sz w:val="20"/>
      <w:effect w:val="none"/>
      <w:vertAlign w:val="baseline"/>
      <w:em w:val="none"/>
    </w:rPr>
  </w:style>
  <w:style w:type="character" w:styleId="WW8Num11z2">
    <w:name w:val="WW8Num11z2"/>
    <w:qFormat/>
    <w:rPr>
      <w:rFonts w:ascii="Wingdings" w:hAnsi="Wingdings" w:cs="Wingdings"/>
      <w:w w:val="100"/>
      <w:position w:val="0"/>
      <w:sz w:val="20"/>
      <w:sz w:val="20"/>
      <w:effect w:val="none"/>
      <w:vertAlign w:val="baseline"/>
      <w:em w:val="none"/>
    </w:rPr>
  </w:style>
  <w:style w:type="character" w:styleId="WW8Num14z0">
    <w:name w:val="WW8Num14z0"/>
    <w:qFormat/>
    <w:rPr>
      <w:b/>
      <w:w w:val="100"/>
      <w:position w:val="0"/>
      <w:sz w:val="22"/>
      <w:sz w:val="22"/>
      <w:effect w:val="none"/>
      <w:vertAlign w:val="baseline"/>
      <w:em w:val="none"/>
    </w:rPr>
  </w:style>
  <w:style w:type="character" w:styleId="WW8Num19z0">
    <w:name w:val="WW8Num19z0"/>
    <w:qFormat/>
    <w:rPr>
      <w:b/>
      <w:bCs/>
      <w:w w:val="100"/>
      <w:position w:val="0"/>
      <w:sz w:val="22"/>
      <w:sz w:val="22"/>
      <w:effect w:val="none"/>
      <w:vertAlign w:val="baseline"/>
      <w:em w:val="none"/>
    </w:rPr>
  </w:style>
  <w:style w:type="character" w:styleId="WW8Num20z0">
    <w:name w:val="WW8Num20z0"/>
    <w:qFormat/>
    <w:rPr>
      <w:b/>
      <w:bCs/>
      <w:w w:val="100"/>
      <w:position w:val="0"/>
      <w:sz w:val="22"/>
      <w:sz w:val="22"/>
      <w:effect w:val="none"/>
      <w:vertAlign w:val="baseline"/>
      <w:em w:val="none"/>
    </w:rPr>
  </w:style>
  <w:style w:type="character" w:styleId="WW8Num21z0">
    <w:name w:val="WW8Num21z0"/>
    <w:qFormat/>
    <w:rPr>
      <w:rFonts w:ascii="Arial" w:hAnsi="Arial" w:cs="Symbol"/>
      <w:w w:val="100"/>
      <w:position w:val="0"/>
      <w:sz w:val="20"/>
      <w:sz w:val="20"/>
      <w:effect w:val="none"/>
      <w:vertAlign w:val="baseline"/>
      <w:em w:val="none"/>
    </w:rPr>
  </w:style>
  <w:style w:type="character" w:styleId="WW8Num21z1">
    <w:name w:val="WW8Num21z1"/>
    <w:qFormat/>
    <w:rPr>
      <w:rFonts w:ascii="Courier New" w:hAnsi="Courier New" w:cs="Courier New"/>
      <w:w w:val="100"/>
      <w:position w:val="0"/>
      <w:sz w:val="20"/>
      <w:sz w:val="20"/>
      <w:effect w:val="none"/>
      <w:vertAlign w:val="baseline"/>
      <w:em w:val="none"/>
    </w:rPr>
  </w:style>
  <w:style w:type="character" w:styleId="WW8Num21z2">
    <w:name w:val="WW8Num21z2"/>
    <w:qFormat/>
    <w:rPr>
      <w:rFonts w:ascii="Wingdings" w:hAnsi="Wingdings" w:cs="Wingdings"/>
      <w:w w:val="100"/>
      <w:position w:val="0"/>
      <w:sz w:val="20"/>
      <w:sz w:val="20"/>
      <w:effect w:val="none"/>
      <w:vertAlign w:val="baseline"/>
      <w:em w:val="none"/>
    </w:rPr>
  </w:style>
  <w:style w:type="character" w:styleId="Fontepargpadro">
    <w:name w:val="Fonte parág. padrão"/>
    <w:qFormat/>
    <w:rPr>
      <w:w w:val="100"/>
      <w:position w:val="0"/>
      <w:sz w:val="22"/>
      <w:sz w:val="22"/>
      <w:effect w:val="none"/>
      <w:vertAlign w:val="baseline"/>
      <w:em w:val="none"/>
    </w:rPr>
  </w:style>
  <w:style w:type="character" w:styleId="WW8Num1z0">
    <w:name w:val="WW8Num1z0"/>
    <w:qFormat/>
    <w:rPr>
      <w:w w:val="100"/>
      <w:position w:val="0"/>
      <w:sz w:val="22"/>
      <w:sz w:val="22"/>
      <w:effect w:val="none"/>
      <w:vertAlign w:val="baseline"/>
      <w:em w:val="none"/>
    </w:rPr>
  </w:style>
  <w:style w:type="character" w:styleId="WW8Num1z1">
    <w:name w:val="WW8Num1z1"/>
    <w:qFormat/>
    <w:rPr>
      <w:w w:val="100"/>
      <w:position w:val="0"/>
      <w:sz w:val="22"/>
      <w:sz w:val="22"/>
      <w:effect w:val="none"/>
      <w:vertAlign w:val="baseline"/>
      <w:em w:val="none"/>
    </w:rPr>
  </w:style>
  <w:style w:type="character" w:styleId="WW8Num1z2">
    <w:name w:val="WW8Num1z2"/>
    <w:qFormat/>
    <w:rPr>
      <w:w w:val="100"/>
      <w:position w:val="0"/>
      <w:sz w:val="22"/>
      <w:sz w:val="22"/>
      <w:effect w:val="none"/>
      <w:vertAlign w:val="baseline"/>
      <w:em w:val="none"/>
    </w:rPr>
  </w:style>
  <w:style w:type="character" w:styleId="WW8Num1z3">
    <w:name w:val="WW8Num1z3"/>
    <w:qFormat/>
    <w:rPr>
      <w:w w:val="100"/>
      <w:position w:val="0"/>
      <w:sz w:val="22"/>
      <w:sz w:val="22"/>
      <w:effect w:val="none"/>
      <w:vertAlign w:val="baseline"/>
      <w:em w:val="none"/>
    </w:rPr>
  </w:style>
  <w:style w:type="character" w:styleId="WW8Num1z4">
    <w:name w:val="WW8Num1z4"/>
    <w:qFormat/>
    <w:rPr>
      <w:w w:val="100"/>
      <w:position w:val="0"/>
      <w:sz w:val="22"/>
      <w:sz w:val="22"/>
      <w:effect w:val="none"/>
      <w:vertAlign w:val="baseline"/>
      <w:em w:val="none"/>
    </w:rPr>
  </w:style>
  <w:style w:type="character" w:styleId="WW8Num1z5">
    <w:name w:val="WW8Num1z5"/>
    <w:qFormat/>
    <w:rPr>
      <w:w w:val="100"/>
      <w:position w:val="0"/>
      <w:sz w:val="22"/>
      <w:sz w:val="22"/>
      <w:effect w:val="none"/>
      <w:vertAlign w:val="baseline"/>
      <w:em w:val="none"/>
    </w:rPr>
  </w:style>
  <w:style w:type="character" w:styleId="WW8Num1z6">
    <w:name w:val="WW8Num1z6"/>
    <w:qFormat/>
    <w:rPr>
      <w:w w:val="100"/>
      <w:position w:val="0"/>
      <w:sz w:val="22"/>
      <w:sz w:val="22"/>
      <w:effect w:val="none"/>
      <w:vertAlign w:val="baseline"/>
      <w:em w:val="none"/>
    </w:rPr>
  </w:style>
  <w:style w:type="character" w:styleId="WW8Num1z7">
    <w:name w:val="WW8Num1z7"/>
    <w:qFormat/>
    <w:rPr>
      <w:w w:val="100"/>
      <w:position w:val="0"/>
      <w:sz w:val="22"/>
      <w:sz w:val="22"/>
      <w:effect w:val="none"/>
      <w:vertAlign w:val="baseline"/>
      <w:em w:val="none"/>
    </w:rPr>
  </w:style>
  <w:style w:type="character" w:styleId="WW8Num1z8">
    <w:name w:val="WW8Num1z8"/>
    <w:qFormat/>
    <w:rPr>
      <w:w w:val="100"/>
      <w:position w:val="0"/>
      <w:sz w:val="22"/>
      <w:sz w:val="22"/>
      <w:effect w:val="none"/>
      <w:vertAlign w:val="baseline"/>
      <w:em w:val="none"/>
    </w:rPr>
  </w:style>
  <w:style w:type="character" w:styleId="WW8Num3z1">
    <w:name w:val="WW8Num3z1"/>
    <w:qFormat/>
    <w:rPr>
      <w:w w:val="100"/>
      <w:position w:val="0"/>
      <w:sz w:val="22"/>
      <w:sz w:val="22"/>
      <w:effect w:val="none"/>
      <w:vertAlign w:val="baseline"/>
      <w:em w:val="none"/>
    </w:rPr>
  </w:style>
  <w:style w:type="character" w:styleId="WW8Num3z2">
    <w:name w:val="WW8Num3z2"/>
    <w:qFormat/>
    <w:rPr>
      <w:w w:val="100"/>
      <w:position w:val="0"/>
      <w:sz w:val="22"/>
      <w:sz w:val="22"/>
      <w:effect w:val="none"/>
      <w:vertAlign w:val="baseline"/>
      <w:em w:val="none"/>
    </w:rPr>
  </w:style>
  <w:style w:type="character" w:styleId="WW8Num3z3">
    <w:name w:val="WW8Num3z3"/>
    <w:qFormat/>
    <w:rPr>
      <w:w w:val="100"/>
      <w:position w:val="0"/>
      <w:sz w:val="22"/>
      <w:sz w:val="22"/>
      <w:effect w:val="none"/>
      <w:vertAlign w:val="baseline"/>
      <w:em w:val="none"/>
    </w:rPr>
  </w:style>
  <w:style w:type="character" w:styleId="WW8Num3z4">
    <w:name w:val="WW8Num3z4"/>
    <w:qFormat/>
    <w:rPr>
      <w:w w:val="100"/>
      <w:position w:val="0"/>
      <w:sz w:val="22"/>
      <w:sz w:val="22"/>
      <w:effect w:val="none"/>
      <w:vertAlign w:val="baseline"/>
      <w:em w:val="none"/>
    </w:rPr>
  </w:style>
  <w:style w:type="character" w:styleId="WW8Num3z5">
    <w:name w:val="WW8Num3z5"/>
    <w:qFormat/>
    <w:rPr>
      <w:w w:val="100"/>
      <w:position w:val="0"/>
      <w:sz w:val="22"/>
      <w:sz w:val="22"/>
      <w:effect w:val="none"/>
      <w:vertAlign w:val="baseline"/>
      <w:em w:val="none"/>
    </w:rPr>
  </w:style>
  <w:style w:type="character" w:styleId="WW8Num3z6">
    <w:name w:val="WW8Num3z6"/>
    <w:qFormat/>
    <w:rPr>
      <w:w w:val="100"/>
      <w:position w:val="0"/>
      <w:sz w:val="22"/>
      <w:sz w:val="22"/>
      <w:effect w:val="none"/>
      <w:vertAlign w:val="baseline"/>
      <w:em w:val="none"/>
    </w:rPr>
  </w:style>
  <w:style w:type="character" w:styleId="WW8Num3z7">
    <w:name w:val="WW8Num3z7"/>
    <w:qFormat/>
    <w:rPr>
      <w:w w:val="100"/>
      <w:position w:val="0"/>
      <w:sz w:val="22"/>
      <w:sz w:val="22"/>
      <w:effect w:val="none"/>
      <w:vertAlign w:val="baseline"/>
      <w:em w:val="none"/>
    </w:rPr>
  </w:style>
  <w:style w:type="character" w:styleId="WW8Num3z8">
    <w:name w:val="WW8Num3z8"/>
    <w:qFormat/>
    <w:rPr>
      <w:w w:val="100"/>
      <w:position w:val="0"/>
      <w:sz w:val="22"/>
      <w:sz w:val="22"/>
      <w:effect w:val="none"/>
      <w:vertAlign w:val="baseline"/>
      <w:em w:val="none"/>
    </w:rPr>
  </w:style>
  <w:style w:type="character" w:styleId="Absatz-Standardschriftart">
    <w:name w:val="Absatz-Standardschriftart"/>
    <w:qFormat/>
    <w:rPr>
      <w:w w:val="100"/>
      <w:position w:val="0"/>
      <w:sz w:val="22"/>
      <w:sz w:val="22"/>
      <w:effect w:val="none"/>
      <w:vertAlign w:val="baseline"/>
      <w:em w:val="none"/>
    </w:rPr>
  </w:style>
  <w:style w:type="character" w:styleId="WW8Num2z1">
    <w:name w:val="WW8Num2z1"/>
    <w:qFormat/>
    <w:rPr>
      <w:w w:val="100"/>
      <w:position w:val="0"/>
      <w:sz w:val="22"/>
      <w:sz w:val="22"/>
      <w:effect w:val="none"/>
      <w:vertAlign w:val="baseline"/>
      <w:em w:val="none"/>
    </w:rPr>
  </w:style>
  <w:style w:type="character" w:styleId="WW8Num2z2">
    <w:name w:val="WW8Num2z2"/>
    <w:qFormat/>
    <w:rPr>
      <w:w w:val="100"/>
      <w:position w:val="0"/>
      <w:sz w:val="22"/>
      <w:sz w:val="22"/>
      <w:effect w:val="none"/>
      <w:vertAlign w:val="baseline"/>
      <w:em w:val="none"/>
    </w:rPr>
  </w:style>
  <w:style w:type="character" w:styleId="WW8Num2z3">
    <w:name w:val="WW8Num2z3"/>
    <w:qFormat/>
    <w:rPr>
      <w:w w:val="100"/>
      <w:position w:val="0"/>
      <w:sz w:val="22"/>
      <w:sz w:val="22"/>
      <w:effect w:val="none"/>
      <w:vertAlign w:val="baseline"/>
      <w:em w:val="none"/>
    </w:rPr>
  </w:style>
  <w:style w:type="character" w:styleId="WW8Num2z4">
    <w:name w:val="WW8Num2z4"/>
    <w:qFormat/>
    <w:rPr>
      <w:w w:val="100"/>
      <w:position w:val="0"/>
      <w:sz w:val="22"/>
      <w:sz w:val="22"/>
      <w:effect w:val="none"/>
      <w:vertAlign w:val="baseline"/>
      <w:em w:val="none"/>
    </w:rPr>
  </w:style>
  <w:style w:type="character" w:styleId="WW8Num2z5">
    <w:name w:val="WW8Num2z5"/>
    <w:qFormat/>
    <w:rPr>
      <w:w w:val="100"/>
      <w:position w:val="0"/>
      <w:sz w:val="22"/>
      <w:sz w:val="22"/>
      <w:effect w:val="none"/>
      <w:vertAlign w:val="baseline"/>
      <w:em w:val="none"/>
    </w:rPr>
  </w:style>
  <w:style w:type="character" w:styleId="WW8Num2z6">
    <w:name w:val="WW8Num2z6"/>
    <w:qFormat/>
    <w:rPr>
      <w:w w:val="100"/>
      <w:position w:val="0"/>
      <w:sz w:val="22"/>
      <w:sz w:val="22"/>
      <w:effect w:val="none"/>
      <w:vertAlign w:val="baseline"/>
      <w:em w:val="none"/>
    </w:rPr>
  </w:style>
  <w:style w:type="character" w:styleId="WW8Num2z7">
    <w:name w:val="WW8Num2z7"/>
    <w:qFormat/>
    <w:rPr>
      <w:w w:val="100"/>
      <w:position w:val="0"/>
      <w:sz w:val="22"/>
      <w:sz w:val="22"/>
      <w:effect w:val="none"/>
      <w:vertAlign w:val="baseline"/>
      <w:em w:val="none"/>
    </w:rPr>
  </w:style>
  <w:style w:type="character" w:styleId="WW8Num2z8">
    <w:name w:val="WW8Num2z8"/>
    <w:qFormat/>
    <w:rPr>
      <w:w w:val="100"/>
      <w:position w:val="0"/>
      <w:sz w:val="22"/>
      <w:sz w:val="22"/>
      <w:effect w:val="none"/>
      <w:vertAlign w:val="baseline"/>
      <w:em w:val="none"/>
    </w:rPr>
  </w:style>
  <w:style w:type="character" w:styleId="WW8Num4z3">
    <w:name w:val="WW8Num4z3"/>
    <w:qFormat/>
    <w:rPr>
      <w:w w:val="100"/>
      <w:position w:val="0"/>
      <w:sz w:val="22"/>
      <w:sz w:val="22"/>
      <w:effect w:val="none"/>
      <w:vertAlign w:val="baseline"/>
      <w:em w:val="none"/>
    </w:rPr>
  </w:style>
  <w:style w:type="character" w:styleId="WW8Num4z4">
    <w:name w:val="WW8Num4z4"/>
    <w:qFormat/>
    <w:rPr>
      <w:w w:val="100"/>
      <w:position w:val="0"/>
      <w:sz w:val="22"/>
      <w:sz w:val="22"/>
      <w:effect w:val="none"/>
      <w:vertAlign w:val="baseline"/>
      <w:em w:val="none"/>
    </w:rPr>
  </w:style>
  <w:style w:type="character" w:styleId="WW8Num4z5">
    <w:name w:val="WW8Num4z5"/>
    <w:qFormat/>
    <w:rPr>
      <w:w w:val="100"/>
      <w:position w:val="0"/>
      <w:sz w:val="22"/>
      <w:sz w:val="22"/>
      <w:effect w:val="none"/>
      <w:vertAlign w:val="baseline"/>
      <w:em w:val="none"/>
    </w:rPr>
  </w:style>
  <w:style w:type="character" w:styleId="WW8Num4z6">
    <w:name w:val="WW8Num4z6"/>
    <w:qFormat/>
    <w:rPr>
      <w:w w:val="100"/>
      <w:position w:val="0"/>
      <w:sz w:val="22"/>
      <w:sz w:val="22"/>
      <w:effect w:val="none"/>
      <w:vertAlign w:val="baseline"/>
      <w:em w:val="none"/>
    </w:rPr>
  </w:style>
  <w:style w:type="character" w:styleId="WW8Num4z7">
    <w:name w:val="WW8Num4z7"/>
    <w:qFormat/>
    <w:rPr>
      <w:w w:val="100"/>
      <w:position w:val="0"/>
      <w:sz w:val="22"/>
      <w:sz w:val="22"/>
      <w:effect w:val="none"/>
      <w:vertAlign w:val="baseline"/>
      <w:em w:val="none"/>
    </w:rPr>
  </w:style>
  <w:style w:type="character" w:styleId="WW8Num4z8">
    <w:name w:val="WW8Num4z8"/>
    <w:qFormat/>
    <w:rPr>
      <w:w w:val="100"/>
      <w:position w:val="0"/>
      <w:sz w:val="22"/>
      <w:sz w:val="22"/>
      <w:effect w:val="none"/>
      <w:vertAlign w:val="baseline"/>
      <w:em w:val="none"/>
    </w:rPr>
  </w:style>
  <w:style w:type="character" w:styleId="WW8Num5z1">
    <w:name w:val="WW8Num5z1"/>
    <w:qFormat/>
    <w:rPr>
      <w:rFonts w:ascii="OpenSymbol" w:hAnsi="OpenSymbol" w:eastAsia="OpenSymbol" w:cs="OpenSymbol"/>
      <w:w w:val="100"/>
      <w:position w:val="0"/>
      <w:sz w:val="22"/>
      <w:sz w:val="22"/>
      <w:effect w:val="none"/>
      <w:vertAlign w:val="baseline"/>
      <w:em w:val="none"/>
    </w:rPr>
  </w:style>
  <w:style w:type="character" w:styleId="WW8Num8z0">
    <w:name w:val="WW8Num8z0"/>
    <w:qFormat/>
    <w:rPr>
      <w:rFonts w:ascii="Tahoma" w:hAnsi="Tahoma" w:eastAsia="Tahoma" w:cs="Tahoma"/>
      <w:b/>
      <w:i w:val="false"/>
      <w:w w:val="100"/>
      <w:position w:val="0"/>
      <w:sz w:val="22"/>
      <w:sz w:val="22"/>
      <w:effect w:val="none"/>
      <w:vertAlign w:val="baseline"/>
      <w:em w:val="none"/>
    </w:rPr>
  </w:style>
  <w:style w:type="character" w:styleId="WW-Absatz-Standardschriftart">
    <w:name w:val="WW-Absatz-Standardschriftart"/>
    <w:qFormat/>
    <w:rPr>
      <w:w w:val="100"/>
      <w:position w:val="0"/>
      <w:sz w:val="22"/>
      <w:sz w:val="22"/>
      <w:effect w:val="none"/>
      <w:vertAlign w:val="baseline"/>
      <w:em w:val="none"/>
    </w:rPr>
  </w:style>
  <w:style w:type="character" w:styleId="WW-Absatz-Standardschriftart1">
    <w:name w:val="WW-Absatz-Standardschriftart1"/>
    <w:qFormat/>
    <w:rPr>
      <w:w w:val="100"/>
      <w:position w:val="0"/>
      <w:sz w:val="22"/>
      <w:sz w:val="22"/>
      <w:effect w:val="none"/>
      <w:vertAlign w:val="baseline"/>
      <w:em w:val="none"/>
    </w:rPr>
  </w:style>
  <w:style w:type="character" w:styleId="WW-Absatz-Standardschriftart11">
    <w:name w:val="WW-Absatz-Standardschriftart11"/>
    <w:qFormat/>
    <w:rPr>
      <w:w w:val="100"/>
      <w:position w:val="0"/>
      <w:sz w:val="22"/>
      <w:sz w:val="22"/>
      <w:effect w:val="none"/>
      <w:vertAlign w:val="baseline"/>
      <w:em w:val="none"/>
    </w:rPr>
  </w:style>
  <w:style w:type="character" w:styleId="CabealhoChar">
    <w:name w:val="Cabeçalho Char"/>
    <w:basedOn w:val="Fontepargpadro"/>
    <w:qFormat/>
    <w:rPr>
      <w:w w:val="100"/>
      <w:position w:val="0"/>
      <w:sz w:val="22"/>
      <w:sz w:val="22"/>
      <w:effect w:val="none"/>
      <w:vertAlign w:val="baseline"/>
      <w:em w:val="none"/>
    </w:rPr>
  </w:style>
  <w:style w:type="character" w:styleId="RodapChar">
    <w:name w:val="Rodapé Char"/>
    <w:basedOn w:val="Fontepargpadro"/>
    <w:qFormat/>
    <w:rPr>
      <w:w w:val="100"/>
      <w:position w:val="0"/>
      <w:sz w:val="22"/>
      <w:sz w:val="22"/>
      <w:effect w:val="none"/>
      <w:vertAlign w:val="baseline"/>
      <w:em w:val="none"/>
    </w:rPr>
  </w:style>
  <w:style w:type="character" w:styleId="TextodebaloChar">
    <w:name w:val="Texto de balão Char"/>
    <w:basedOn w:val="Fontepargpadro"/>
    <w:qFormat/>
    <w:rPr>
      <w:rFonts w:ascii="Tahoma" w:hAnsi="Tahoma" w:eastAsia="Tahoma" w:cs="Tahoma"/>
      <w:w w:val="100"/>
      <w:position w:val="0"/>
      <w:sz w:val="16"/>
      <w:sz w:val="16"/>
      <w:szCs w:val="16"/>
      <w:effect w:val="none"/>
      <w:vertAlign w:val="baseline"/>
      <w:em w:val="none"/>
    </w:rPr>
  </w:style>
  <w:style w:type="character" w:styleId="PageNumber">
    <w:name w:val="Page Number"/>
    <w:basedOn w:val="Fontepargpadro"/>
    <w:qFormat/>
    <w:rPr>
      <w:w w:val="100"/>
      <w:position w:val="0"/>
      <w:sz w:val="22"/>
      <w:sz w:val="22"/>
      <w:effect w:val="none"/>
      <w:vertAlign w:val="baseline"/>
      <w:em w:val="none"/>
    </w:rPr>
  </w:style>
  <w:style w:type="character" w:styleId="Smbolosdenumerao">
    <w:name w:val="Símbolos de numeração"/>
    <w:qFormat/>
    <w:rPr>
      <w:rFonts w:ascii="Arial" w:hAnsi="Arial" w:cs="Arial"/>
      <w:b w:val="false"/>
      <w:bCs w:val="false"/>
      <w:color w:val="000000"/>
      <w:w w:val="100"/>
      <w:position w:val="0"/>
      <w:sz w:val="20"/>
      <w:sz w:val="20"/>
      <w:effect w:val="none"/>
      <w:vertAlign w:val="baseline"/>
      <w:em w:val="none"/>
    </w:rPr>
  </w:style>
  <w:style w:type="character" w:styleId="Marcas">
    <w:name w:val="Marcas"/>
    <w:qFormat/>
    <w:rPr>
      <w:rFonts w:ascii="OpenSymbol" w:hAnsi="OpenSymbol" w:eastAsia="OpenSymbol" w:cs="OpenSymbol"/>
      <w:w w:val="100"/>
      <w:position w:val="0"/>
      <w:sz w:val="22"/>
      <w:sz w:val="22"/>
      <w:effect w:val="none"/>
      <w:vertAlign w:val="baseline"/>
      <w:em w:val="none"/>
    </w:rPr>
  </w:style>
  <w:style w:type="character" w:styleId="WW8Num6z1">
    <w:name w:val="WW8Num6z1"/>
    <w:qFormat/>
    <w:rPr>
      <w:rFonts w:ascii="Courier New" w:hAnsi="Courier New" w:eastAsia="Courier New" w:cs="Courier New"/>
      <w:w w:val="100"/>
      <w:position w:val="0"/>
      <w:sz w:val="20"/>
      <w:sz w:val="20"/>
      <w:effect w:val="none"/>
      <w:vertAlign w:val="baseline"/>
      <w:em w:val="none"/>
    </w:rPr>
  </w:style>
  <w:style w:type="character" w:styleId="WW8Num6z2">
    <w:name w:val="WW8Num6z2"/>
    <w:qFormat/>
    <w:rPr>
      <w:rFonts w:ascii="Wingdings" w:hAnsi="Wingdings" w:eastAsia="Wingdings" w:cs="Wingdings"/>
      <w:w w:val="100"/>
      <w:position w:val="0"/>
      <w:sz w:val="20"/>
      <w:sz w:val="20"/>
      <w:effect w:val="none"/>
      <w:vertAlign w:val="baseline"/>
      <w:em w:val="none"/>
    </w:rPr>
  </w:style>
  <w:style w:type="character" w:styleId="Emphasis">
    <w:name w:val="Emphasis"/>
    <w:qFormat/>
    <w:rPr>
      <w:i/>
      <w:iCs/>
      <w:w w:val="100"/>
      <w:position w:val="0"/>
      <w:sz w:val="22"/>
      <w:sz w:val="22"/>
      <w:effect w:val="none"/>
      <w:vertAlign w:val="baseline"/>
      <w:em w:val="none"/>
    </w:rPr>
  </w:style>
  <w:style w:type="character" w:styleId="Strong">
    <w:name w:val="Strong"/>
    <w:qFormat/>
    <w:rPr>
      <w:rFonts w:ascii="Arial" w:hAnsi="Arial" w:eastAsia="Arial" w:cs="Arial"/>
      <w:b/>
      <w:bCs/>
      <w:color w:val="000000"/>
      <w:w w:val="100"/>
      <w:position w:val="0"/>
      <w:sz w:val="24"/>
      <w:sz w:val="24"/>
      <w:effect w:val="none"/>
      <w:vertAlign w:val="baseline"/>
      <w:em w:val="none"/>
    </w:rPr>
  </w:style>
  <w:style w:type="character" w:styleId="Hyperlink">
    <w:name w:val="Hyperlink"/>
    <w:qFormat/>
    <w:rPr>
      <w:color w:val="000080"/>
      <w:w w:val="100"/>
      <w:position w:val="0"/>
      <w:sz w:val="22"/>
      <w:sz w:val="22"/>
      <w:u w:val="single"/>
      <w:effect w:val="none"/>
      <w:vertAlign w:val="baseline"/>
      <w:em w:val="none"/>
    </w:rPr>
  </w:style>
  <w:style w:type="character" w:styleId="Caracteresdenotaderodap">
    <w:name w:val="Caracteres de nota de rodapé"/>
    <w:qFormat/>
    <w:rPr>
      <w:w w:val="100"/>
      <w:position w:val="0"/>
      <w:sz w:val="16"/>
      <w:sz w:val="16"/>
      <w:effect w:val="none"/>
      <w:vertAlign w:val="baseline"/>
      <w:em w:val="none"/>
    </w:rPr>
  </w:style>
  <w:style w:type="character" w:styleId="WW-Caracteresdenotaderodap">
    <w:name w:val="WW-Caracteres de nota de rodapé"/>
    <w:qFormat/>
    <w:rPr>
      <w:w w:val="100"/>
      <w:position w:val="0"/>
      <w:sz w:val="22"/>
      <w:sz w:val="22"/>
      <w:effect w:val="none"/>
      <w:vertAlign w:val="baseline"/>
      <w:em w:val="none"/>
    </w:rPr>
  </w:style>
  <w:style w:type="character" w:styleId="CabealhoChar1">
    <w:name w:val="Cabeçalho Char1"/>
    <w:basedOn w:val="Fontepargpadro"/>
    <w:qFormat/>
    <w:rPr>
      <w:w w:val="100"/>
      <w:position w:val="0"/>
      <w:sz w:val="22"/>
      <w:sz w:val="22"/>
      <w:szCs w:val="21"/>
      <w:effect w:val="none"/>
      <w:vertAlign w:val="baseline"/>
      <w:em w:val="none"/>
    </w:rPr>
  </w:style>
  <w:style w:type="character" w:styleId="Character20style">
    <w:name w:val="Character_20_style"/>
    <w:qFormat/>
    <w:rPr>
      <w:w w:val="100"/>
      <w:position w:val="0"/>
      <w:sz w:val="22"/>
      <w:sz w:val="22"/>
      <w:effect w:val="none"/>
      <w:vertAlign w:val="baseline"/>
      <w:em w:val="none"/>
    </w:rPr>
  </w:style>
  <w:style w:type="character" w:styleId="Caracteresdenotadefim">
    <w:name w:val="Caracteres de nota de fim"/>
    <w:qFormat/>
    <w:rPr>
      <w:w w:val="100"/>
      <w:position w:val="0"/>
      <w:sz w:val="16"/>
      <w:sz w:val="16"/>
      <w:effect w:val="none"/>
      <w:vertAlign w:val="baseline"/>
      <w:em w:val="none"/>
    </w:rPr>
  </w:style>
  <w:style w:type="character" w:styleId="WW-Caracteresdenotadefim">
    <w:name w:val="WW-Caracteres de nota de fim"/>
    <w:qFormat/>
    <w:rPr>
      <w:w w:val="100"/>
      <w:position w:val="0"/>
      <w:sz w:val="22"/>
      <w:sz w:val="22"/>
      <w:effect w:val="none"/>
      <w:vertAlign w:val="baseline"/>
      <w:em w:val="none"/>
    </w:rPr>
  </w:style>
  <w:style w:type="character" w:styleId="Caractresdenotedebasdepage">
    <w:name w:val="Caractères de note de bas de page"/>
    <w:qFormat/>
    <w:rPr>
      <w:w w:val="100"/>
      <w:position w:val="0"/>
      <w:sz w:val="16"/>
      <w:sz w:val="16"/>
      <w:effect w:val="none"/>
      <w:vertAlign w:val="baseline"/>
      <w:em w:val="none"/>
    </w:rPr>
  </w:style>
  <w:style w:type="character" w:styleId="Caractresdenotedefin">
    <w:name w:val="Caractères de note de fin"/>
    <w:qFormat/>
    <w:rPr>
      <w:w w:val="100"/>
      <w:position w:val="0"/>
      <w:sz w:val="16"/>
      <w:sz w:val="16"/>
      <w:effect w:val="none"/>
      <w:vertAlign w:val="baseline"/>
      <w:em w:val="none"/>
    </w:rPr>
  </w:style>
  <w:style w:type="character" w:styleId="WW8Num5z8">
    <w:name w:val="WW8Num5z8"/>
    <w:qFormat/>
    <w:rPr>
      <w:w w:val="100"/>
      <w:position w:val="0"/>
      <w:sz w:val="22"/>
      <w:sz w:val="22"/>
      <w:effect w:val="none"/>
      <w:vertAlign w:val="baseline"/>
      <w:em w:val="none"/>
    </w:rPr>
  </w:style>
  <w:style w:type="character" w:styleId="WW8Num5z7">
    <w:name w:val="WW8Num5z7"/>
    <w:qFormat/>
    <w:rPr>
      <w:w w:val="100"/>
      <w:position w:val="0"/>
      <w:sz w:val="22"/>
      <w:sz w:val="22"/>
      <w:effect w:val="none"/>
      <w:vertAlign w:val="baseline"/>
      <w:em w:val="none"/>
    </w:rPr>
  </w:style>
  <w:style w:type="character" w:styleId="WW8Num5z6">
    <w:name w:val="WW8Num5z6"/>
    <w:qFormat/>
    <w:rPr>
      <w:w w:val="100"/>
      <w:position w:val="0"/>
      <w:sz w:val="22"/>
      <w:sz w:val="22"/>
      <w:effect w:val="none"/>
      <w:vertAlign w:val="baseline"/>
      <w:em w:val="none"/>
    </w:rPr>
  </w:style>
  <w:style w:type="character" w:styleId="WW8Num5z5">
    <w:name w:val="WW8Num5z5"/>
    <w:qFormat/>
    <w:rPr>
      <w:w w:val="100"/>
      <w:position w:val="0"/>
      <w:sz w:val="22"/>
      <w:sz w:val="22"/>
      <w:effect w:val="none"/>
      <w:vertAlign w:val="baseline"/>
      <w:em w:val="none"/>
    </w:rPr>
  </w:style>
  <w:style w:type="character" w:styleId="WW8Num5z4">
    <w:name w:val="WW8Num5z4"/>
    <w:qFormat/>
    <w:rPr>
      <w:w w:val="100"/>
      <w:position w:val="0"/>
      <w:sz w:val="22"/>
      <w:sz w:val="22"/>
      <w:effect w:val="none"/>
      <w:vertAlign w:val="baseline"/>
      <w:em w:val="none"/>
    </w:rPr>
  </w:style>
  <w:style w:type="character" w:styleId="WW8Num5z3">
    <w:name w:val="WW8Num5z3"/>
    <w:qFormat/>
    <w:rPr>
      <w:w w:val="100"/>
      <w:position w:val="0"/>
      <w:sz w:val="22"/>
      <w:sz w:val="22"/>
      <w:effect w:val="none"/>
      <w:vertAlign w:val="baseline"/>
      <w:em w:val="none"/>
    </w:rPr>
  </w:style>
  <w:style w:type="character" w:styleId="WW8Num5z2">
    <w:name w:val="WW8Num5z2"/>
    <w:qFormat/>
    <w:rPr>
      <w:w w:val="100"/>
      <w:position w:val="0"/>
      <w:sz w:val="22"/>
      <w:sz w:val="22"/>
      <w:effect w:val="none"/>
      <w:vertAlign w:val="baseline"/>
      <w:em w:val="none"/>
    </w:rPr>
  </w:style>
  <w:style w:type="character" w:styleId="Appeldenote">
    <w:name w:val="Appel de note"/>
    <w:qFormat/>
    <w:rPr>
      <w:w w:val="100"/>
      <w:position w:val="0"/>
      <w:sz w:val="16"/>
      <w:sz w:val="16"/>
      <w:effect w:val="none"/>
      <w:vertAlign w:val="baseline"/>
      <w:em w:val="none"/>
    </w:rPr>
  </w:style>
  <w:style w:type="character" w:styleId="Appeldenotedefin">
    <w:name w:val="Appel de note de fin"/>
    <w:qFormat/>
    <w:rPr>
      <w:w w:val="100"/>
      <w:position w:val="0"/>
      <w:sz w:val="16"/>
      <w:sz w:val="16"/>
      <w:effect w:val="none"/>
      <w:vertAlign w:val="baseline"/>
      <w:em w:val="none"/>
    </w:rPr>
  </w:style>
  <w:style w:type="character" w:styleId="FootnoteReference">
    <w:name w:val="Footnote Reference"/>
    <w:rPr>
      <w:w w:val="100"/>
      <w:position w:val="0"/>
      <w:sz w:val="16"/>
      <w:sz w:val="16"/>
      <w:effect w:val="none"/>
      <w:vertAlign w:val="baseline"/>
      <w:em w:val="none"/>
    </w:rPr>
  </w:style>
  <w:style w:type="character" w:styleId="Fontepargpadro1">
    <w:name w:val="Fonte parág. padrão1"/>
    <w:qFormat/>
    <w:rPr>
      <w:w w:val="100"/>
      <w:position w:val="0"/>
      <w:sz w:val="22"/>
      <w:sz w:val="22"/>
      <w:effect w:val="none"/>
      <w:vertAlign w:val="baseline"/>
      <w:em w:val="none"/>
    </w:rPr>
  </w:style>
  <w:style w:type="character" w:styleId="Normaltextrun">
    <w:name w:val="normaltextrun"/>
    <w:basedOn w:val="Fontepargpadro"/>
    <w:qFormat/>
    <w:rPr>
      <w:w w:val="100"/>
      <w:position w:val="0"/>
      <w:sz w:val="22"/>
      <w:sz w:val="22"/>
      <w:effect w:val="none"/>
      <w:vertAlign w:val="baseline"/>
      <w:em w:val="none"/>
    </w:rPr>
  </w:style>
  <w:style w:type="character" w:styleId="Eop">
    <w:name w:val="eop"/>
    <w:basedOn w:val="Fontepargpadro"/>
    <w:qFormat/>
    <w:rPr>
      <w:w w:val="100"/>
      <w:position w:val="0"/>
      <w:sz w:val="22"/>
      <w:sz w:val="22"/>
      <w:effect w:val="none"/>
      <w:vertAlign w:val="baseline"/>
      <w:em w:val="none"/>
    </w:rPr>
  </w:style>
  <w:style w:type="character" w:styleId="Apple-converted-space">
    <w:name w:val="apple-converted-space"/>
    <w:basedOn w:val="Fontepargpadro"/>
    <w:qFormat/>
    <w:rPr>
      <w:w w:val="100"/>
      <w:position w:val="0"/>
      <w:sz w:val="22"/>
      <w:sz w:val="22"/>
      <w:effect w:val="none"/>
      <w:vertAlign w:val="baseline"/>
      <w:em w:val="none"/>
    </w:rPr>
  </w:style>
  <w:style w:type="character" w:styleId="FollowedHyperlink">
    <w:name w:val="FollowedHyperlink"/>
    <w:qFormat/>
    <w:rPr>
      <w:color w:val="800000"/>
      <w:w w:val="100"/>
      <w:position w:val="0"/>
      <w:sz w:val="22"/>
      <w:sz w:val="22"/>
      <w:u w:val="single"/>
      <w:effect w:val="none"/>
      <w:vertAlign w:val="baseline"/>
      <w:em w:val="none"/>
    </w:rPr>
  </w:style>
  <w:style w:type="character" w:styleId="WW8Num12z3">
    <w:name w:val="WW8Num12z3"/>
    <w:qFormat/>
    <w:rPr>
      <w:w w:val="100"/>
      <w:position w:val="0"/>
      <w:sz w:val="22"/>
      <w:sz w:val="22"/>
      <w:effect w:val="none"/>
      <w:vertAlign w:val="baseline"/>
      <w:em w:val="none"/>
    </w:rPr>
  </w:style>
  <w:style w:type="character" w:styleId="WW8Num12z4">
    <w:name w:val="WW8Num12z4"/>
    <w:qFormat/>
    <w:rPr>
      <w:w w:val="100"/>
      <w:position w:val="0"/>
      <w:sz w:val="22"/>
      <w:sz w:val="22"/>
      <w:effect w:val="none"/>
      <w:vertAlign w:val="baseline"/>
      <w:em w:val="none"/>
    </w:rPr>
  </w:style>
  <w:style w:type="character" w:styleId="WW8Num12z5">
    <w:name w:val="WW8Num12z5"/>
    <w:qFormat/>
    <w:rPr>
      <w:w w:val="100"/>
      <w:position w:val="0"/>
      <w:sz w:val="22"/>
      <w:sz w:val="22"/>
      <w:effect w:val="none"/>
      <w:vertAlign w:val="baseline"/>
      <w:em w:val="none"/>
    </w:rPr>
  </w:style>
  <w:style w:type="character" w:styleId="WW8Num12z6">
    <w:name w:val="WW8Num12z6"/>
    <w:qFormat/>
    <w:rPr>
      <w:w w:val="100"/>
      <w:position w:val="0"/>
      <w:sz w:val="22"/>
      <w:sz w:val="22"/>
      <w:effect w:val="none"/>
      <w:vertAlign w:val="baseline"/>
      <w:em w:val="none"/>
    </w:rPr>
  </w:style>
  <w:style w:type="character" w:styleId="WW8Num12z7">
    <w:name w:val="WW8Num12z7"/>
    <w:qFormat/>
    <w:rPr>
      <w:w w:val="100"/>
      <w:position w:val="0"/>
      <w:sz w:val="22"/>
      <w:sz w:val="22"/>
      <w:effect w:val="none"/>
      <w:vertAlign w:val="baseline"/>
      <w:em w:val="none"/>
    </w:rPr>
  </w:style>
  <w:style w:type="character" w:styleId="WW8Num12z8">
    <w:name w:val="WW8Num12z8"/>
    <w:qFormat/>
    <w:rPr>
      <w:w w:val="100"/>
      <w:position w:val="0"/>
      <w:sz w:val="22"/>
      <w:sz w:val="22"/>
      <w:effect w:val="none"/>
      <w:vertAlign w:val="baseline"/>
      <w:em w:val="none"/>
    </w:rPr>
  </w:style>
  <w:style w:type="character" w:styleId="WW8Num14z1">
    <w:name w:val="WW8Num14z1"/>
    <w:qFormat/>
    <w:rPr>
      <w:w w:val="100"/>
      <w:position w:val="0"/>
      <w:sz w:val="22"/>
      <w:sz w:val="22"/>
      <w:effect w:val="none"/>
      <w:vertAlign w:val="baseline"/>
      <w:em w:val="none"/>
    </w:rPr>
  </w:style>
  <w:style w:type="character" w:styleId="WW8Num14z2">
    <w:name w:val="WW8Num14z2"/>
    <w:qFormat/>
    <w:rPr>
      <w:w w:val="100"/>
      <w:position w:val="0"/>
      <w:sz w:val="22"/>
      <w:sz w:val="22"/>
      <w:effect w:val="none"/>
      <w:vertAlign w:val="baseline"/>
      <w:em w:val="none"/>
    </w:rPr>
  </w:style>
  <w:style w:type="character" w:styleId="WW8Num14z3">
    <w:name w:val="WW8Num14z3"/>
    <w:qFormat/>
    <w:rPr>
      <w:w w:val="100"/>
      <w:position w:val="0"/>
      <w:sz w:val="22"/>
      <w:sz w:val="22"/>
      <w:effect w:val="none"/>
      <w:vertAlign w:val="baseline"/>
      <w:em w:val="none"/>
    </w:rPr>
  </w:style>
  <w:style w:type="character" w:styleId="WW8Num14z4">
    <w:name w:val="WW8Num14z4"/>
    <w:qFormat/>
    <w:rPr>
      <w:w w:val="100"/>
      <w:position w:val="0"/>
      <w:sz w:val="22"/>
      <w:sz w:val="22"/>
      <w:effect w:val="none"/>
      <w:vertAlign w:val="baseline"/>
      <w:em w:val="none"/>
    </w:rPr>
  </w:style>
  <w:style w:type="character" w:styleId="WW8Num14z5">
    <w:name w:val="WW8Num14z5"/>
    <w:qFormat/>
    <w:rPr>
      <w:w w:val="100"/>
      <w:position w:val="0"/>
      <w:sz w:val="22"/>
      <w:sz w:val="22"/>
      <w:effect w:val="none"/>
      <w:vertAlign w:val="baseline"/>
      <w:em w:val="none"/>
    </w:rPr>
  </w:style>
  <w:style w:type="character" w:styleId="WW8Num14z6">
    <w:name w:val="WW8Num14z6"/>
    <w:qFormat/>
    <w:rPr>
      <w:w w:val="100"/>
      <w:position w:val="0"/>
      <w:sz w:val="22"/>
      <w:sz w:val="22"/>
      <w:effect w:val="none"/>
      <w:vertAlign w:val="baseline"/>
      <w:em w:val="none"/>
    </w:rPr>
  </w:style>
  <w:style w:type="character" w:styleId="WW8Num14z7">
    <w:name w:val="WW8Num14z7"/>
    <w:qFormat/>
    <w:rPr>
      <w:w w:val="100"/>
      <w:position w:val="0"/>
      <w:sz w:val="22"/>
      <w:sz w:val="22"/>
      <w:effect w:val="none"/>
      <w:vertAlign w:val="baseline"/>
      <w:em w:val="none"/>
    </w:rPr>
  </w:style>
  <w:style w:type="character" w:styleId="WW8Num14z8">
    <w:name w:val="WW8Num14z8"/>
    <w:qFormat/>
    <w:rPr>
      <w:w w:val="100"/>
      <w:position w:val="0"/>
      <w:sz w:val="22"/>
      <w:sz w:val="22"/>
      <w:effect w:val="none"/>
      <w:vertAlign w:val="baseline"/>
      <w:em w:val="none"/>
    </w:rPr>
  </w:style>
  <w:style w:type="character" w:styleId="WW8Num11z3">
    <w:name w:val="WW8Num11z3"/>
    <w:qFormat/>
    <w:rPr>
      <w:w w:val="100"/>
      <w:position w:val="0"/>
      <w:sz w:val="22"/>
      <w:sz w:val="22"/>
      <w:effect w:val="none"/>
      <w:vertAlign w:val="baseline"/>
      <w:em w:val="none"/>
    </w:rPr>
  </w:style>
  <w:style w:type="character" w:styleId="WW8Num11z4">
    <w:name w:val="WW8Num11z4"/>
    <w:qFormat/>
    <w:rPr>
      <w:w w:val="100"/>
      <w:position w:val="0"/>
      <w:sz w:val="22"/>
      <w:sz w:val="22"/>
      <w:effect w:val="none"/>
      <w:vertAlign w:val="baseline"/>
      <w:em w:val="none"/>
    </w:rPr>
  </w:style>
  <w:style w:type="character" w:styleId="WW8Num11z5">
    <w:name w:val="WW8Num11z5"/>
    <w:qFormat/>
    <w:rPr>
      <w:w w:val="100"/>
      <w:position w:val="0"/>
      <w:sz w:val="22"/>
      <w:sz w:val="22"/>
      <w:effect w:val="none"/>
      <w:vertAlign w:val="baseline"/>
      <w:em w:val="none"/>
    </w:rPr>
  </w:style>
  <w:style w:type="character" w:styleId="WW8Num11z6">
    <w:name w:val="WW8Num11z6"/>
    <w:qFormat/>
    <w:rPr>
      <w:w w:val="100"/>
      <w:position w:val="0"/>
      <w:sz w:val="22"/>
      <w:sz w:val="22"/>
      <w:effect w:val="none"/>
      <w:vertAlign w:val="baseline"/>
      <w:em w:val="none"/>
    </w:rPr>
  </w:style>
  <w:style w:type="character" w:styleId="WW8Num11z7">
    <w:name w:val="WW8Num11z7"/>
    <w:qFormat/>
    <w:rPr>
      <w:w w:val="100"/>
      <w:position w:val="0"/>
      <w:sz w:val="22"/>
      <w:sz w:val="22"/>
      <w:effect w:val="none"/>
      <w:vertAlign w:val="baseline"/>
      <w:em w:val="none"/>
    </w:rPr>
  </w:style>
  <w:style w:type="character" w:styleId="WW8Num11z8">
    <w:name w:val="WW8Num11z8"/>
    <w:qFormat/>
    <w:rPr>
      <w:w w:val="100"/>
      <w:position w:val="0"/>
      <w:sz w:val="22"/>
      <w:sz w:val="22"/>
      <w:effect w:val="none"/>
      <w:vertAlign w:val="baseline"/>
      <w:em w:val="none"/>
    </w:rPr>
  </w:style>
  <w:style w:type="character" w:styleId="WW8Num22z0">
    <w:name w:val="WW8Num22z0"/>
    <w:qFormat/>
    <w:rPr>
      <w:w w:val="100"/>
      <w:position w:val="0"/>
      <w:sz w:val="22"/>
      <w:sz w:val="22"/>
      <w:effect w:val="none"/>
      <w:vertAlign w:val="baseline"/>
      <w:em w:val="none"/>
    </w:rPr>
  </w:style>
  <w:style w:type="character" w:styleId="WW8Num22z1">
    <w:name w:val="WW8Num22z1"/>
    <w:qFormat/>
    <w:rPr>
      <w:w w:val="100"/>
      <w:position w:val="0"/>
      <w:sz w:val="22"/>
      <w:sz w:val="22"/>
      <w:effect w:val="none"/>
      <w:vertAlign w:val="baseline"/>
      <w:em w:val="none"/>
    </w:rPr>
  </w:style>
  <w:style w:type="character" w:styleId="WW8Num22z2">
    <w:name w:val="WW8Num22z2"/>
    <w:qFormat/>
    <w:rPr>
      <w:w w:val="100"/>
      <w:position w:val="0"/>
      <w:sz w:val="22"/>
      <w:sz w:val="22"/>
      <w:effect w:val="none"/>
      <w:vertAlign w:val="baseline"/>
      <w:em w:val="none"/>
    </w:rPr>
  </w:style>
  <w:style w:type="character" w:styleId="WW8Num22z3">
    <w:name w:val="WW8Num22z3"/>
    <w:qFormat/>
    <w:rPr>
      <w:w w:val="100"/>
      <w:position w:val="0"/>
      <w:sz w:val="22"/>
      <w:sz w:val="22"/>
      <w:effect w:val="none"/>
      <w:vertAlign w:val="baseline"/>
      <w:em w:val="none"/>
    </w:rPr>
  </w:style>
  <w:style w:type="character" w:styleId="WW8Num22z4">
    <w:name w:val="WW8Num22z4"/>
    <w:qFormat/>
    <w:rPr>
      <w:w w:val="100"/>
      <w:position w:val="0"/>
      <w:sz w:val="22"/>
      <w:sz w:val="22"/>
      <w:effect w:val="none"/>
      <w:vertAlign w:val="baseline"/>
      <w:em w:val="none"/>
    </w:rPr>
  </w:style>
  <w:style w:type="character" w:styleId="WW8Num22z5">
    <w:name w:val="WW8Num22z5"/>
    <w:qFormat/>
    <w:rPr>
      <w:w w:val="100"/>
      <w:position w:val="0"/>
      <w:sz w:val="22"/>
      <w:sz w:val="22"/>
      <w:effect w:val="none"/>
      <w:vertAlign w:val="baseline"/>
      <w:em w:val="none"/>
    </w:rPr>
  </w:style>
  <w:style w:type="character" w:styleId="WW8Num22z6">
    <w:name w:val="WW8Num22z6"/>
    <w:qFormat/>
    <w:rPr>
      <w:w w:val="100"/>
      <w:position w:val="0"/>
      <w:sz w:val="22"/>
      <w:sz w:val="22"/>
      <w:effect w:val="none"/>
      <w:vertAlign w:val="baseline"/>
      <w:em w:val="none"/>
    </w:rPr>
  </w:style>
  <w:style w:type="character" w:styleId="WW8Num22z7">
    <w:name w:val="WW8Num22z7"/>
    <w:qFormat/>
    <w:rPr>
      <w:w w:val="100"/>
      <w:position w:val="0"/>
      <w:sz w:val="22"/>
      <w:sz w:val="22"/>
      <w:effect w:val="none"/>
      <w:vertAlign w:val="baseline"/>
      <w:em w:val="none"/>
    </w:rPr>
  </w:style>
  <w:style w:type="character" w:styleId="WW8Num22z8">
    <w:name w:val="WW8Num22z8"/>
    <w:qFormat/>
    <w:rPr>
      <w:w w:val="100"/>
      <w:position w:val="0"/>
      <w:sz w:val="22"/>
      <w:sz w:val="22"/>
      <w:effect w:val="none"/>
      <w:vertAlign w:val="baseline"/>
      <w:em w:val="none"/>
    </w:rPr>
  </w:style>
  <w:style w:type="character" w:styleId="WW8Num7z1">
    <w:name w:val="WW8Num7z1"/>
    <w:qFormat/>
    <w:rPr>
      <w:w w:val="100"/>
      <w:position w:val="0"/>
      <w:sz w:val="22"/>
      <w:sz w:val="22"/>
      <w:effect w:val="none"/>
      <w:vertAlign w:val="baseline"/>
      <w:em w:val="none"/>
    </w:rPr>
  </w:style>
  <w:style w:type="character" w:styleId="WW8Num7z2">
    <w:name w:val="WW8Num7z2"/>
    <w:qFormat/>
    <w:rPr>
      <w:w w:val="100"/>
      <w:position w:val="0"/>
      <w:sz w:val="22"/>
      <w:sz w:val="22"/>
      <w:effect w:val="none"/>
      <w:vertAlign w:val="baseline"/>
      <w:em w:val="none"/>
    </w:rPr>
  </w:style>
  <w:style w:type="character" w:styleId="WW8Num7z3">
    <w:name w:val="WW8Num7z3"/>
    <w:qFormat/>
    <w:rPr>
      <w:w w:val="100"/>
      <w:position w:val="0"/>
      <w:sz w:val="22"/>
      <w:sz w:val="22"/>
      <w:effect w:val="none"/>
      <w:vertAlign w:val="baseline"/>
      <w:em w:val="none"/>
    </w:rPr>
  </w:style>
  <w:style w:type="character" w:styleId="WW8Num7z4">
    <w:name w:val="WW8Num7z4"/>
    <w:qFormat/>
    <w:rPr>
      <w:w w:val="100"/>
      <w:position w:val="0"/>
      <w:sz w:val="22"/>
      <w:sz w:val="22"/>
      <w:effect w:val="none"/>
      <w:vertAlign w:val="baseline"/>
      <w:em w:val="none"/>
    </w:rPr>
  </w:style>
  <w:style w:type="character" w:styleId="WW8Num7z5">
    <w:name w:val="WW8Num7z5"/>
    <w:qFormat/>
    <w:rPr>
      <w:w w:val="100"/>
      <w:position w:val="0"/>
      <w:sz w:val="22"/>
      <w:sz w:val="22"/>
      <w:effect w:val="none"/>
      <w:vertAlign w:val="baseline"/>
      <w:em w:val="none"/>
    </w:rPr>
  </w:style>
  <w:style w:type="character" w:styleId="WW8Num7z6">
    <w:name w:val="WW8Num7z6"/>
    <w:qFormat/>
    <w:rPr>
      <w:w w:val="100"/>
      <w:position w:val="0"/>
      <w:sz w:val="22"/>
      <w:sz w:val="22"/>
      <w:effect w:val="none"/>
      <w:vertAlign w:val="baseline"/>
      <w:em w:val="none"/>
    </w:rPr>
  </w:style>
  <w:style w:type="character" w:styleId="WW8Num7z7">
    <w:name w:val="WW8Num7z7"/>
    <w:qFormat/>
    <w:rPr>
      <w:w w:val="100"/>
      <w:position w:val="0"/>
      <w:sz w:val="22"/>
      <w:sz w:val="22"/>
      <w:effect w:val="none"/>
      <w:vertAlign w:val="baseline"/>
      <w:em w:val="none"/>
    </w:rPr>
  </w:style>
  <w:style w:type="character" w:styleId="WW8Num7z8">
    <w:name w:val="WW8Num7z8"/>
    <w:qFormat/>
    <w:rPr>
      <w:w w:val="100"/>
      <w:position w:val="0"/>
      <w:sz w:val="22"/>
      <w:sz w:val="22"/>
      <w:effect w:val="none"/>
      <w:vertAlign w:val="baseline"/>
      <w:em w:val="none"/>
    </w:rPr>
  </w:style>
  <w:style w:type="character" w:styleId="WW8Num15z1">
    <w:name w:val="WW8Num15z1"/>
    <w:qFormat/>
    <w:rPr>
      <w:w w:val="100"/>
      <w:position w:val="0"/>
      <w:sz w:val="22"/>
      <w:sz w:val="22"/>
      <w:effect w:val="none"/>
      <w:vertAlign w:val="baseline"/>
      <w:em w:val="none"/>
    </w:rPr>
  </w:style>
  <w:style w:type="character" w:styleId="WW8Num15z2">
    <w:name w:val="WW8Num15z2"/>
    <w:qFormat/>
    <w:rPr>
      <w:w w:val="100"/>
      <w:position w:val="0"/>
      <w:sz w:val="22"/>
      <w:sz w:val="22"/>
      <w:effect w:val="none"/>
      <w:vertAlign w:val="baseline"/>
      <w:em w:val="none"/>
    </w:rPr>
  </w:style>
  <w:style w:type="character" w:styleId="WW8Num15z3">
    <w:name w:val="WW8Num15z3"/>
    <w:qFormat/>
    <w:rPr>
      <w:w w:val="100"/>
      <w:position w:val="0"/>
      <w:sz w:val="22"/>
      <w:sz w:val="22"/>
      <w:effect w:val="none"/>
      <w:vertAlign w:val="baseline"/>
      <w:em w:val="none"/>
    </w:rPr>
  </w:style>
  <w:style w:type="character" w:styleId="WW8Num15z4">
    <w:name w:val="WW8Num15z4"/>
    <w:qFormat/>
    <w:rPr>
      <w:w w:val="100"/>
      <w:position w:val="0"/>
      <w:sz w:val="22"/>
      <w:sz w:val="22"/>
      <w:effect w:val="none"/>
      <w:vertAlign w:val="baseline"/>
      <w:em w:val="none"/>
    </w:rPr>
  </w:style>
  <w:style w:type="character" w:styleId="WW8Num15z5">
    <w:name w:val="WW8Num15z5"/>
    <w:qFormat/>
    <w:rPr>
      <w:w w:val="100"/>
      <w:position w:val="0"/>
      <w:sz w:val="22"/>
      <w:sz w:val="22"/>
      <w:effect w:val="none"/>
      <w:vertAlign w:val="baseline"/>
      <w:em w:val="none"/>
    </w:rPr>
  </w:style>
  <w:style w:type="character" w:styleId="WW8Num15z6">
    <w:name w:val="WW8Num15z6"/>
    <w:qFormat/>
    <w:rPr>
      <w:w w:val="100"/>
      <w:position w:val="0"/>
      <w:sz w:val="22"/>
      <w:sz w:val="22"/>
      <w:effect w:val="none"/>
      <w:vertAlign w:val="baseline"/>
      <w:em w:val="none"/>
    </w:rPr>
  </w:style>
  <w:style w:type="character" w:styleId="WW8Num15z7">
    <w:name w:val="WW8Num15z7"/>
    <w:qFormat/>
    <w:rPr>
      <w:w w:val="100"/>
      <w:position w:val="0"/>
      <w:sz w:val="22"/>
      <w:sz w:val="22"/>
      <w:effect w:val="none"/>
      <w:vertAlign w:val="baseline"/>
      <w:em w:val="none"/>
    </w:rPr>
  </w:style>
  <w:style w:type="character" w:styleId="WW8Num15z8">
    <w:name w:val="WW8Num15z8"/>
    <w:qFormat/>
    <w:rPr>
      <w:w w:val="100"/>
      <w:position w:val="0"/>
      <w:sz w:val="22"/>
      <w:sz w:val="22"/>
      <w:effect w:val="none"/>
      <w:vertAlign w:val="baseline"/>
      <w:em w:val="none"/>
    </w:rPr>
  </w:style>
  <w:style w:type="character" w:styleId="WW8Num6z3">
    <w:name w:val="WW8Num6z3"/>
    <w:qFormat/>
    <w:rPr>
      <w:w w:val="100"/>
      <w:position w:val="0"/>
      <w:sz w:val="22"/>
      <w:sz w:val="22"/>
      <w:effect w:val="none"/>
      <w:vertAlign w:val="baseline"/>
      <w:em w:val="none"/>
    </w:rPr>
  </w:style>
  <w:style w:type="character" w:styleId="WW8Num6z4">
    <w:name w:val="WW8Num6z4"/>
    <w:qFormat/>
    <w:rPr>
      <w:w w:val="100"/>
      <w:position w:val="0"/>
      <w:sz w:val="22"/>
      <w:sz w:val="22"/>
      <w:effect w:val="none"/>
      <w:vertAlign w:val="baseline"/>
      <w:em w:val="none"/>
    </w:rPr>
  </w:style>
  <w:style w:type="character" w:styleId="WW8Num6z5">
    <w:name w:val="WW8Num6z5"/>
    <w:qFormat/>
    <w:rPr>
      <w:w w:val="100"/>
      <w:position w:val="0"/>
      <w:sz w:val="22"/>
      <w:sz w:val="22"/>
      <w:effect w:val="none"/>
      <w:vertAlign w:val="baseline"/>
      <w:em w:val="none"/>
    </w:rPr>
  </w:style>
  <w:style w:type="character" w:styleId="WW8Num6z6">
    <w:name w:val="WW8Num6z6"/>
    <w:qFormat/>
    <w:rPr>
      <w:w w:val="100"/>
      <w:position w:val="0"/>
      <w:sz w:val="22"/>
      <w:sz w:val="22"/>
      <w:effect w:val="none"/>
      <w:vertAlign w:val="baseline"/>
      <w:em w:val="none"/>
    </w:rPr>
  </w:style>
  <w:style w:type="character" w:styleId="WW8Num6z7">
    <w:name w:val="WW8Num6z7"/>
    <w:qFormat/>
    <w:rPr>
      <w:w w:val="100"/>
      <w:position w:val="0"/>
      <w:sz w:val="22"/>
      <w:sz w:val="22"/>
      <w:effect w:val="none"/>
      <w:vertAlign w:val="baseline"/>
      <w:em w:val="none"/>
    </w:rPr>
  </w:style>
  <w:style w:type="character" w:styleId="WW8Num6z8">
    <w:name w:val="WW8Num6z8"/>
    <w:qFormat/>
    <w:rPr>
      <w:w w:val="100"/>
      <w:position w:val="0"/>
      <w:sz w:val="22"/>
      <w:sz w:val="22"/>
      <w:effect w:val="none"/>
      <w:vertAlign w:val="baseline"/>
      <w:em w:val="none"/>
    </w:rPr>
  </w:style>
  <w:style w:type="character" w:styleId="WW8Num19z1">
    <w:name w:val="WW8Num19z1"/>
    <w:qFormat/>
    <w:rPr>
      <w:w w:val="100"/>
      <w:position w:val="0"/>
      <w:sz w:val="22"/>
      <w:sz w:val="22"/>
      <w:effect w:val="none"/>
      <w:vertAlign w:val="baseline"/>
      <w:em w:val="none"/>
    </w:rPr>
  </w:style>
  <w:style w:type="character" w:styleId="WW8Num19z2">
    <w:name w:val="WW8Num19z2"/>
    <w:qFormat/>
    <w:rPr>
      <w:w w:val="100"/>
      <w:position w:val="0"/>
      <w:sz w:val="22"/>
      <w:sz w:val="22"/>
      <w:effect w:val="none"/>
      <w:vertAlign w:val="baseline"/>
      <w:em w:val="none"/>
    </w:rPr>
  </w:style>
  <w:style w:type="character" w:styleId="WW8Num19z3">
    <w:name w:val="WW8Num19z3"/>
    <w:qFormat/>
    <w:rPr>
      <w:w w:val="100"/>
      <w:position w:val="0"/>
      <w:sz w:val="22"/>
      <w:sz w:val="22"/>
      <w:effect w:val="none"/>
      <w:vertAlign w:val="baseline"/>
      <w:em w:val="none"/>
    </w:rPr>
  </w:style>
  <w:style w:type="character" w:styleId="WW8Num19z4">
    <w:name w:val="WW8Num19z4"/>
    <w:qFormat/>
    <w:rPr>
      <w:w w:val="100"/>
      <w:position w:val="0"/>
      <w:sz w:val="22"/>
      <w:sz w:val="22"/>
      <w:effect w:val="none"/>
      <w:vertAlign w:val="baseline"/>
      <w:em w:val="none"/>
    </w:rPr>
  </w:style>
  <w:style w:type="character" w:styleId="WW8Num19z5">
    <w:name w:val="WW8Num19z5"/>
    <w:qFormat/>
    <w:rPr>
      <w:w w:val="100"/>
      <w:position w:val="0"/>
      <w:sz w:val="22"/>
      <w:sz w:val="22"/>
      <w:effect w:val="none"/>
      <w:vertAlign w:val="baseline"/>
      <w:em w:val="none"/>
    </w:rPr>
  </w:style>
  <w:style w:type="character" w:styleId="WW8Num19z6">
    <w:name w:val="WW8Num19z6"/>
    <w:qFormat/>
    <w:rPr>
      <w:w w:val="100"/>
      <w:position w:val="0"/>
      <w:sz w:val="22"/>
      <w:sz w:val="22"/>
      <w:effect w:val="none"/>
      <w:vertAlign w:val="baseline"/>
      <w:em w:val="none"/>
    </w:rPr>
  </w:style>
  <w:style w:type="character" w:styleId="WW8Num19z7">
    <w:name w:val="WW8Num19z7"/>
    <w:qFormat/>
    <w:rPr>
      <w:w w:val="100"/>
      <w:position w:val="0"/>
      <w:sz w:val="22"/>
      <w:sz w:val="22"/>
      <w:effect w:val="none"/>
      <w:vertAlign w:val="baseline"/>
      <w:em w:val="none"/>
    </w:rPr>
  </w:style>
  <w:style w:type="character" w:styleId="WW8Num19z8">
    <w:name w:val="WW8Num19z8"/>
    <w:qFormat/>
    <w:rPr>
      <w:w w:val="100"/>
      <w:position w:val="0"/>
      <w:sz w:val="22"/>
      <w:sz w:val="22"/>
      <w:effect w:val="none"/>
      <w:vertAlign w:val="baseline"/>
      <w:em w:val="none"/>
    </w:rPr>
  </w:style>
  <w:style w:type="character" w:styleId="WW8Num16z1">
    <w:name w:val="WW8Num16z1"/>
    <w:qFormat/>
    <w:rPr>
      <w:w w:val="100"/>
      <w:position w:val="0"/>
      <w:sz w:val="22"/>
      <w:sz w:val="22"/>
      <w:effect w:val="none"/>
      <w:vertAlign w:val="baseline"/>
      <w:em w:val="none"/>
    </w:rPr>
  </w:style>
  <w:style w:type="character" w:styleId="WW8Num16z2">
    <w:name w:val="WW8Num16z2"/>
    <w:qFormat/>
    <w:rPr>
      <w:w w:val="100"/>
      <w:position w:val="0"/>
      <w:sz w:val="22"/>
      <w:sz w:val="22"/>
      <w:effect w:val="none"/>
      <w:vertAlign w:val="baseline"/>
      <w:em w:val="none"/>
    </w:rPr>
  </w:style>
  <w:style w:type="character" w:styleId="WW8Num16z3">
    <w:name w:val="WW8Num16z3"/>
    <w:qFormat/>
    <w:rPr>
      <w:w w:val="100"/>
      <w:position w:val="0"/>
      <w:sz w:val="22"/>
      <w:sz w:val="22"/>
      <w:effect w:val="none"/>
      <w:vertAlign w:val="baseline"/>
      <w:em w:val="none"/>
    </w:rPr>
  </w:style>
  <w:style w:type="character" w:styleId="WW8Num16z4">
    <w:name w:val="WW8Num16z4"/>
    <w:qFormat/>
    <w:rPr>
      <w:w w:val="100"/>
      <w:position w:val="0"/>
      <w:sz w:val="22"/>
      <w:sz w:val="22"/>
      <w:effect w:val="none"/>
      <w:vertAlign w:val="baseline"/>
      <w:em w:val="none"/>
    </w:rPr>
  </w:style>
  <w:style w:type="character" w:styleId="WW8Num16z5">
    <w:name w:val="WW8Num16z5"/>
    <w:qFormat/>
    <w:rPr>
      <w:w w:val="100"/>
      <w:position w:val="0"/>
      <w:sz w:val="22"/>
      <w:sz w:val="22"/>
      <w:effect w:val="none"/>
      <w:vertAlign w:val="baseline"/>
      <w:em w:val="none"/>
    </w:rPr>
  </w:style>
  <w:style w:type="character" w:styleId="WW8Num16z6">
    <w:name w:val="WW8Num16z6"/>
    <w:qFormat/>
    <w:rPr>
      <w:w w:val="100"/>
      <w:position w:val="0"/>
      <w:sz w:val="22"/>
      <w:sz w:val="22"/>
      <w:effect w:val="none"/>
      <w:vertAlign w:val="baseline"/>
      <w:em w:val="none"/>
    </w:rPr>
  </w:style>
  <w:style w:type="character" w:styleId="WW8Num16z7">
    <w:name w:val="WW8Num16z7"/>
    <w:qFormat/>
    <w:rPr>
      <w:w w:val="100"/>
      <w:position w:val="0"/>
      <w:sz w:val="22"/>
      <w:sz w:val="22"/>
      <w:effect w:val="none"/>
      <w:vertAlign w:val="baseline"/>
      <w:em w:val="none"/>
    </w:rPr>
  </w:style>
  <w:style w:type="character" w:styleId="WW8Num16z8">
    <w:name w:val="WW8Num16z8"/>
    <w:qFormat/>
    <w:rPr>
      <w:w w:val="100"/>
      <w:position w:val="0"/>
      <w:sz w:val="22"/>
      <w:sz w:val="22"/>
      <w:effect w:val="none"/>
      <w:vertAlign w:val="baseline"/>
      <w:em w:val="none"/>
    </w:rPr>
  </w:style>
  <w:style w:type="character" w:styleId="TextodecomentrioChar">
    <w:name w:val="Texto de comentário Char"/>
    <w:basedOn w:val="Fontepargpadro"/>
    <w:qFormat/>
    <w:rPr>
      <w:rFonts w:ascii="Arial" w:hAnsi="Arial" w:eastAsia="Arial" w:cs="Mangal"/>
      <w:color w:val="000000"/>
      <w:w w:val="100"/>
      <w:position w:val="0"/>
      <w:sz w:val="20"/>
      <w:sz w:val="20"/>
      <w:szCs w:val="18"/>
      <w:effect w:val="none"/>
      <w:vertAlign w:val="baseline"/>
      <w:em w:val="none"/>
    </w:rPr>
  </w:style>
  <w:style w:type="character" w:styleId="Refdecomentrio">
    <w:name w:val="Ref. de comentário"/>
    <w:basedOn w:val="Fontepargpadro"/>
    <w:qFormat/>
    <w:rPr>
      <w:w w:val="100"/>
      <w:position w:val="0"/>
      <w:sz w:val="16"/>
      <w:sz w:val="16"/>
      <w:szCs w:val="16"/>
      <w:effect w:val="none"/>
      <w:vertAlign w:val="baseline"/>
      <w:em w:val="none"/>
    </w:rPr>
  </w:style>
  <w:style w:type="character" w:styleId="TextodecomentrioChar1">
    <w:name w:val="Texto de comentário Char1"/>
    <w:basedOn w:val="Fontepargpadro"/>
    <w:qFormat/>
    <w:rPr>
      <w:rFonts w:ascii="Arial" w:hAnsi="Arial" w:eastAsia="Arial" w:cs="Mangal"/>
      <w:color w:val="000000"/>
      <w:w w:val="100"/>
      <w:position w:val="0"/>
      <w:sz w:val="20"/>
      <w:sz w:val="20"/>
      <w:szCs w:val="18"/>
      <w:effect w:val="none"/>
      <w:vertAlign w:val="baseline"/>
      <w:em w:val="none"/>
    </w:rPr>
  </w:style>
  <w:style w:type="character" w:styleId="WWCharLFO29LVL1">
    <w:name w:val="WW_CharLFO29LVL1"/>
    <w:qFormat/>
    <w:rPr>
      <w:rFonts w:ascii="Symbol" w:hAnsi="Symbol" w:cs="Symbol"/>
      <w:w w:val="100"/>
      <w:position w:val="0"/>
      <w:sz w:val="22"/>
      <w:sz w:val="22"/>
      <w:effect w:val="none"/>
      <w:vertAlign w:val="baseline"/>
      <w:em w:val="none"/>
    </w:rPr>
  </w:style>
  <w:style w:type="character" w:styleId="AssuntodocomentrioChar">
    <w:name w:val="Assunto do comentário Char"/>
    <w:basedOn w:val="WWCharLFO29LVL1"/>
    <w:qFormat/>
    <w:rPr>
      <w:rFonts w:ascii="Arial" w:hAnsi="Arial" w:eastAsia="Arial" w:cs="Mangal"/>
      <w:b/>
      <w:bCs/>
      <w:color w:val="000000"/>
      <w:w w:val="100"/>
      <w:position w:val="0"/>
      <w:sz w:val="20"/>
      <w:sz w:val="20"/>
      <w:szCs w:val="18"/>
      <w:effect w:val="none"/>
      <w:vertAlign w:val="baseline"/>
      <w:em w:val="none"/>
    </w:rPr>
  </w:style>
  <w:style w:type="character" w:styleId="Hyperlink1">
    <w:name w:val="Hyperlink1"/>
    <w:basedOn w:val="Fontepargpadro"/>
    <w:qFormat/>
    <w:rPr>
      <w:color w:val="0000FF"/>
      <w:w w:val="100"/>
      <w:position w:val="0"/>
      <w:sz w:val="22"/>
      <w:sz w:val="22"/>
      <w:u w:val="single"/>
      <w:effect w:val="none"/>
      <w:vertAlign w:val="baseline"/>
      <w:em w:val="none"/>
    </w:rPr>
  </w:style>
  <w:style w:type="character" w:styleId="WWCharLFO12LVL1">
    <w:name w:val="WW_CharLFO12LVL1"/>
    <w:qFormat/>
    <w:rPr>
      <w:rFonts w:ascii="Symbol" w:hAnsi="Symbol" w:cs="OpenSymbol"/>
      <w:color w:val="000000"/>
      <w:w w:val="100"/>
      <w:position w:val="0"/>
      <w:sz w:val="20"/>
      <w:sz w:val="20"/>
      <w:szCs w:val="20"/>
      <w:effect w:val="none"/>
      <w:vertAlign w:val="baseline"/>
      <w:em w:val="none"/>
    </w:rPr>
  </w:style>
  <w:style w:type="character" w:styleId="WWCharLFO12LVL2">
    <w:name w:val="WW_CharLFO12LVL2"/>
    <w:qFormat/>
    <w:rPr>
      <w:rFonts w:ascii="Symbol" w:hAnsi="Symbol" w:cs="OpenSymbol"/>
      <w:color w:val="000000"/>
      <w:w w:val="100"/>
      <w:position w:val="0"/>
      <w:sz w:val="20"/>
      <w:sz w:val="20"/>
      <w:szCs w:val="20"/>
      <w:effect w:val="none"/>
      <w:vertAlign w:val="baseline"/>
      <w:em w:val="none"/>
    </w:rPr>
  </w:style>
  <w:style w:type="character" w:styleId="WWCharLFO12LVL3">
    <w:name w:val="WW_CharLFO12LVL3"/>
    <w:qFormat/>
    <w:rPr>
      <w:rFonts w:ascii="Symbol" w:hAnsi="Symbol" w:cs="OpenSymbol"/>
      <w:color w:val="000000"/>
      <w:w w:val="100"/>
      <w:position w:val="0"/>
      <w:sz w:val="20"/>
      <w:sz w:val="20"/>
      <w:szCs w:val="20"/>
      <w:effect w:val="none"/>
      <w:vertAlign w:val="baseline"/>
      <w:em w:val="none"/>
    </w:rPr>
  </w:style>
  <w:style w:type="character" w:styleId="WWCharLFO12LVL4">
    <w:name w:val="WW_CharLFO12LVL4"/>
    <w:qFormat/>
    <w:rPr>
      <w:rFonts w:ascii="Symbol" w:hAnsi="Symbol" w:cs="OpenSymbol"/>
      <w:color w:val="000000"/>
      <w:w w:val="100"/>
      <w:position w:val="0"/>
      <w:sz w:val="20"/>
      <w:sz w:val="20"/>
      <w:szCs w:val="20"/>
      <w:effect w:val="none"/>
      <w:vertAlign w:val="baseline"/>
      <w:em w:val="none"/>
    </w:rPr>
  </w:style>
  <w:style w:type="character" w:styleId="WWCharLFO12LVL5">
    <w:name w:val="WW_CharLFO12LVL5"/>
    <w:qFormat/>
    <w:rPr>
      <w:rFonts w:ascii="Symbol" w:hAnsi="Symbol" w:cs="OpenSymbol"/>
      <w:color w:val="000000"/>
      <w:w w:val="100"/>
      <w:position w:val="0"/>
      <w:sz w:val="20"/>
      <w:sz w:val="20"/>
      <w:szCs w:val="20"/>
      <w:effect w:val="none"/>
      <w:vertAlign w:val="baseline"/>
      <w:em w:val="none"/>
    </w:rPr>
  </w:style>
  <w:style w:type="character" w:styleId="WWCharLFO12LVL6">
    <w:name w:val="WW_CharLFO12LVL6"/>
    <w:qFormat/>
    <w:rPr>
      <w:rFonts w:ascii="Symbol" w:hAnsi="Symbol" w:cs="OpenSymbol"/>
      <w:color w:val="000000"/>
      <w:w w:val="100"/>
      <w:position w:val="0"/>
      <w:sz w:val="20"/>
      <w:sz w:val="20"/>
      <w:szCs w:val="20"/>
      <w:effect w:val="none"/>
      <w:vertAlign w:val="baseline"/>
      <w:em w:val="none"/>
    </w:rPr>
  </w:style>
  <w:style w:type="character" w:styleId="WWCharLFO12LVL7">
    <w:name w:val="WW_CharLFO12LVL7"/>
    <w:qFormat/>
    <w:rPr>
      <w:rFonts w:ascii="Symbol" w:hAnsi="Symbol" w:cs="OpenSymbol"/>
      <w:color w:val="000000"/>
      <w:w w:val="100"/>
      <w:position w:val="0"/>
      <w:sz w:val="20"/>
      <w:sz w:val="20"/>
      <w:szCs w:val="20"/>
      <w:effect w:val="none"/>
      <w:vertAlign w:val="baseline"/>
      <w:em w:val="none"/>
    </w:rPr>
  </w:style>
  <w:style w:type="character" w:styleId="WWCharLFO12LVL8">
    <w:name w:val="WW_CharLFO12LVL8"/>
    <w:qFormat/>
    <w:rPr>
      <w:rFonts w:ascii="Symbol" w:hAnsi="Symbol" w:cs="OpenSymbol"/>
      <w:color w:val="000000"/>
      <w:w w:val="100"/>
      <w:position w:val="0"/>
      <w:sz w:val="20"/>
      <w:sz w:val="20"/>
      <w:szCs w:val="20"/>
      <w:effect w:val="none"/>
      <w:vertAlign w:val="baseline"/>
      <w:em w:val="none"/>
    </w:rPr>
  </w:style>
  <w:style w:type="character" w:styleId="WWCharLFO12LVL9">
    <w:name w:val="WW_CharLFO12LVL9"/>
    <w:qFormat/>
    <w:rPr>
      <w:rFonts w:ascii="Symbol" w:hAnsi="Symbol" w:cs="OpenSymbol"/>
      <w:color w:val="000000"/>
      <w:w w:val="100"/>
      <w:position w:val="0"/>
      <w:sz w:val="20"/>
      <w:sz w:val="20"/>
      <w:szCs w:val="20"/>
      <w:effect w:val="none"/>
      <w:vertAlign w:val="baseline"/>
      <w:em w:val="none"/>
    </w:rPr>
  </w:style>
  <w:style w:type="character" w:styleId="WWCharLFO13LVL1">
    <w:name w:val="WW_CharLFO13LVL1"/>
    <w:qFormat/>
    <w:rPr>
      <w:rFonts w:ascii="Symbol" w:hAnsi="Symbol" w:cs="OpenSymbol"/>
      <w:w w:val="100"/>
      <w:position w:val="0"/>
      <w:sz w:val="20"/>
      <w:sz w:val="20"/>
      <w:szCs w:val="20"/>
      <w:effect w:val="none"/>
      <w:vertAlign w:val="baseline"/>
      <w:em w:val="none"/>
    </w:rPr>
  </w:style>
  <w:style w:type="character" w:styleId="WWCharLFO14LVL1">
    <w:name w:val="WW_CharLFO14LVL1"/>
    <w:qFormat/>
    <w:rPr>
      <w:b/>
      <w:w w:val="100"/>
      <w:position w:val="0"/>
      <w:sz w:val="22"/>
      <w:sz w:val="22"/>
      <w:effect w:val="none"/>
      <w:vertAlign w:val="baseline"/>
      <w:em w:val="none"/>
    </w:rPr>
  </w:style>
  <w:style w:type="character" w:styleId="WWCharLFO14LVL2">
    <w:name w:val="WW_CharLFO14LVL2"/>
    <w:qFormat/>
    <w:rPr>
      <w:b w:val="false"/>
      <w:color w:val="00000A"/>
      <w:w w:val="100"/>
      <w:position w:val="0"/>
      <w:sz w:val="20"/>
      <w:sz w:val="20"/>
      <w:szCs w:val="20"/>
      <w:effect w:val="none"/>
      <w:vertAlign w:val="baseline"/>
      <w:em w:val="none"/>
    </w:rPr>
  </w:style>
  <w:style w:type="character" w:styleId="WWCharLFO14LVL3">
    <w:name w:val="WW_CharLFO14LVL3"/>
    <w:qFormat/>
    <w:rPr>
      <w:b w:val="false"/>
      <w:i w:val="false"/>
      <w:color w:val="00000A"/>
      <w:w w:val="100"/>
      <w:position w:val="0"/>
      <w:sz w:val="20"/>
      <w:sz w:val="20"/>
      <w:szCs w:val="20"/>
      <w:effect w:val="none"/>
      <w:vertAlign w:val="baseline"/>
      <w:em w:val="none"/>
    </w:rPr>
  </w:style>
  <w:style w:type="character" w:styleId="WWCharLFO15LVL1">
    <w:name w:val="WW_CharLFO15LVL1"/>
    <w:qFormat/>
    <w:rPr>
      <w:rFonts w:ascii="Arial" w:hAnsi="Arial" w:cs="Arial"/>
      <w:b/>
      <w:w w:val="100"/>
      <w:position w:val="0"/>
      <w:sz w:val="22"/>
      <w:sz w:val="22"/>
      <w:effect w:val="none"/>
      <w:vertAlign w:val="baseline"/>
      <w:em w:val="none"/>
    </w:rPr>
  </w:style>
  <w:style w:type="character" w:styleId="WWCharLFO15LVL2">
    <w:name w:val="WW_CharLFO15LVL2"/>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15LVL3">
    <w:name w:val="WW_CharLFO15LVL3"/>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16LVL1">
    <w:name w:val="WW_CharLFO16LVL1"/>
    <w:qFormat/>
    <w:rPr>
      <w:b/>
      <w:w w:val="100"/>
      <w:position w:val="0"/>
      <w:sz w:val="22"/>
      <w:sz w:val="22"/>
      <w:effect w:val="none"/>
      <w:vertAlign w:val="baseline"/>
      <w:em w:val="none"/>
    </w:rPr>
  </w:style>
  <w:style w:type="character" w:styleId="WWCharLFO16LVL2">
    <w:name w:val="WW_CharLFO16LVL2"/>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16LVL3">
    <w:name w:val="WW_CharLFO16LVL3"/>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18LVL1">
    <w:name w:val="WW_CharLFO18LVL1"/>
    <w:qFormat/>
    <w:rPr>
      <w:i w:val="false"/>
      <w:w w:val="100"/>
      <w:position w:val="0"/>
      <w:sz w:val="22"/>
      <w:sz w:val="22"/>
      <w:effect w:val="none"/>
      <w:vertAlign w:val="baseline"/>
      <w:em w:val="none"/>
    </w:rPr>
  </w:style>
  <w:style w:type="character" w:styleId="WWCharLFO18LVL2">
    <w:name w:val="WW_CharLFO18LVL2"/>
    <w:qFormat/>
    <w:rPr>
      <w:b w:val="false"/>
      <w:i w:val="false"/>
      <w:w w:val="100"/>
      <w:position w:val="0"/>
      <w:sz w:val="22"/>
      <w:sz w:val="22"/>
      <w:effect w:val="none"/>
      <w:vertAlign w:val="baseline"/>
      <w:em w:val="none"/>
    </w:rPr>
  </w:style>
  <w:style w:type="character" w:styleId="WWCharLFO18LVL4">
    <w:name w:val="WW_CharLFO18LVL4"/>
    <w:qFormat/>
    <w:rPr>
      <w:i w:val="false"/>
      <w:w w:val="100"/>
      <w:position w:val="0"/>
      <w:sz w:val="22"/>
      <w:sz w:val="22"/>
      <w:effect w:val="none"/>
      <w:vertAlign w:val="baseline"/>
      <w:em w:val="none"/>
    </w:rPr>
  </w:style>
  <w:style w:type="character" w:styleId="WWCharLFO19LVL1">
    <w:name w:val="WW_CharLFO19LVL1"/>
    <w:qFormat/>
    <w:rPr>
      <w:i w:val="false"/>
      <w:w w:val="100"/>
      <w:position w:val="0"/>
      <w:sz w:val="22"/>
      <w:sz w:val="22"/>
      <w:effect w:val="none"/>
      <w:vertAlign w:val="baseline"/>
      <w:em w:val="none"/>
    </w:rPr>
  </w:style>
  <w:style w:type="character" w:styleId="WWCharLFO19LVL2">
    <w:name w:val="WW_CharLFO19LVL2"/>
    <w:qFormat/>
    <w:rPr>
      <w:b/>
      <w:i w:val="false"/>
      <w:w w:val="100"/>
      <w:position w:val="0"/>
      <w:sz w:val="22"/>
      <w:sz w:val="22"/>
      <w:effect w:val="none"/>
      <w:vertAlign w:val="baseline"/>
      <w:em w:val="none"/>
    </w:rPr>
  </w:style>
  <w:style w:type="character" w:styleId="WWCharLFO19LVL4">
    <w:name w:val="WW_CharLFO19LVL4"/>
    <w:qFormat/>
    <w:rPr>
      <w:i w:val="false"/>
      <w:w w:val="100"/>
      <w:position w:val="0"/>
      <w:sz w:val="22"/>
      <w:sz w:val="22"/>
      <w:effect w:val="none"/>
      <w:vertAlign w:val="baseline"/>
      <w:em w:val="none"/>
    </w:rPr>
  </w:style>
  <w:style w:type="character" w:styleId="WWCharLFO20LVL2">
    <w:name w:val="WW_CharLFO20LVL2"/>
    <w:qFormat/>
    <w:rPr>
      <w:rFonts w:ascii="Arial" w:hAnsi="Arial" w:cs="Arial"/>
      <w:b/>
      <w:w w:val="100"/>
      <w:position w:val="0"/>
      <w:sz w:val="22"/>
      <w:sz w:val="22"/>
      <w:effect w:val="none"/>
      <w:vertAlign w:val="baseline"/>
      <w:em w:val="none"/>
    </w:rPr>
  </w:style>
  <w:style w:type="character" w:styleId="WWCharLFO20LVL3">
    <w:name w:val="WW_CharLFO20LVL3"/>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20LVL4">
    <w:name w:val="WW_CharLFO20LVL4"/>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21LVL1">
    <w:name w:val="WW_CharLFO21LVL1"/>
    <w:qFormat/>
    <w:rPr>
      <w:i w:val="false"/>
      <w:w w:val="100"/>
      <w:position w:val="0"/>
      <w:sz w:val="22"/>
      <w:sz w:val="22"/>
      <w:effect w:val="none"/>
      <w:vertAlign w:val="baseline"/>
      <w:em w:val="none"/>
    </w:rPr>
  </w:style>
  <w:style w:type="character" w:styleId="WWCharLFO21LVL2">
    <w:name w:val="WW_CharLFO21LVL2"/>
    <w:qFormat/>
    <w:rPr>
      <w:b/>
      <w:i w:val="false"/>
      <w:w w:val="100"/>
      <w:position w:val="0"/>
      <w:sz w:val="22"/>
      <w:sz w:val="22"/>
      <w:effect w:val="none"/>
      <w:vertAlign w:val="baseline"/>
      <w:em w:val="none"/>
    </w:rPr>
  </w:style>
  <w:style w:type="character" w:styleId="WWCharLFO21LVL4">
    <w:name w:val="WW_CharLFO21LVL4"/>
    <w:qFormat/>
    <w:rPr>
      <w:i w:val="false"/>
      <w:w w:val="100"/>
      <w:position w:val="0"/>
      <w:sz w:val="22"/>
      <w:sz w:val="22"/>
      <w:effect w:val="none"/>
      <w:vertAlign w:val="baseline"/>
      <w:em w:val="none"/>
    </w:rPr>
  </w:style>
  <w:style w:type="character" w:styleId="WWCharLFO22LVL2">
    <w:name w:val="WW_CharLFO22LVL2"/>
    <w:qFormat/>
    <w:rPr>
      <w:b w:val="false"/>
      <w:i w:val="false"/>
      <w:w w:val="100"/>
      <w:position w:val="0"/>
      <w:sz w:val="22"/>
      <w:sz w:val="22"/>
      <w:effect w:val="none"/>
      <w:vertAlign w:val="baseline"/>
      <w:em w:val="none"/>
    </w:rPr>
  </w:style>
  <w:style w:type="character" w:styleId="WWCharLFO22LVL3">
    <w:name w:val="WW_CharLFO22LVL3"/>
    <w:qFormat/>
    <w:rPr>
      <w:b w:val="false"/>
      <w:w w:val="100"/>
      <w:position w:val="0"/>
      <w:sz w:val="22"/>
      <w:sz w:val="22"/>
      <w:effect w:val="none"/>
      <w:vertAlign w:val="baseline"/>
      <w:em w:val="none"/>
    </w:rPr>
  </w:style>
  <w:style w:type="character" w:styleId="WWCharLFO23LVL1">
    <w:name w:val="WW_CharLFO23LVL1"/>
    <w:qFormat/>
    <w:rPr>
      <w:i w:val="false"/>
      <w:w w:val="100"/>
      <w:position w:val="0"/>
      <w:sz w:val="22"/>
      <w:sz w:val="22"/>
      <w:effect w:val="none"/>
      <w:vertAlign w:val="baseline"/>
      <w:em w:val="none"/>
    </w:rPr>
  </w:style>
  <w:style w:type="character" w:styleId="WWCharLFO23LVL2">
    <w:name w:val="WW_CharLFO23LVL2"/>
    <w:qFormat/>
    <w:rPr>
      <w:b w:val="false"/>
      <w:i w:val="false"/>
      <w:w w:val="100"/>
      <w:position w:val="0"/>
      <w:sz w:val="22"/>
      <w:sz w:val="22"/>
      <w:effect w:val="none"/>
      <w:vertAlign w:val="baseline"/>
      <w:em w:val="none"/>
    </w:rPr>
  </w:style>
  <w:style w:type="character" w:styleId="WWCharLFO23LVL4">
    <w:name w:val="WW_CharLFO23LVL4"/>
    <w:qFormat/>
    <w:rPr>
      <w:i w:val="false"/>
      <w:w w:val="100"/>
      <w:position w:val="0"/>
      <w:sz w:val="22"/>
      <w:sz w:val="22"/>
      <w:effect w:val="none"/>
      <w:vertAlign w:val="baseline"/>
      <w:em w:val="none"/>
    </w:rPr>
  </w:style>
  <w:style w:type="character" w:styleId="WWCharLFO24LVL2">
    <w:name w:val="WW_CharLFO24LVL2"/>
    <w:qFormat/>
    <w:rPr>
      <w:b w:val="false"/>
      <w:i w:val="false"/>
      <w:w w:val="100"/>
      <w:position w:val="0"/>
      <w:sz w:val="22"/>
      <w:sz w:val="22"/>
      <w:effect w:val="none"/>
      <w:vertAlign w:val="baseline"/>
      <w:em w:val="none"/>
    </w:rPr>
  </w:style>
  <w:style w:type="character" w:styleId="WWCharLFO24LVL3">
    <w:name w:val="WW_CharLFO24LVL3"/>
    <w:qFormat/>
    <w:rPr>
      <w:b w:val="false"/>
      <w:w w:val="100"/>
      <w:position w:val="0"/>
      <w:sz w:val="22"/>
      <w:sz w:val="22"/>
      <w:effect w:val="none"/>
      <w:vertAlign w:val="baseline"/>
      <w:em w:val="none"/>
    </w:rPr>
  </w:style>
  <w:style w:type="character" w:styleId="WWCharLFO25LVL1">
    <w:name w:val="WW_CharLFO25LVL1"/>
    <w:qFormat/>
    <w:rPr>
      <w:i w:val="false"/>
      <w:w w:val="100"/>
      <w:position w:val="0"/>
      <w:sz w:val="22"/>
      <w:sz w:val="22"/>
      <w:effect w:val="none"/>
      <w:vertAlign w:val="baseline"/>
      <w:em w:val="none"/>
    </w:rPr>
  </w:style>
  <w:style w:type="character" w:styleId="WWCharLFO25LVL2">
    <w:name w:val="WW_CharLFO25LVL2"/>
    <w:qFormat/>
    <w:rPr>
      <w:b w:val="false"/>
      <w:i w:val="false"/>
      <w:w w:val="100"/>
      <w:position w:val="0"/>
      <w:sz w:val="22"/>
      <w:sz w:val="22"/>
      <w:effect w:val="none"/>
      <w:vertAlign w:val="baseline"/>
      <w:em w:val="none"/>
    </w:rPr>
  </w:style>
  <w:style w:type="character" w:styleId="WWCharLFO25LVL4">
    <w:name w:val="WW_CharLFO25LVL4"/>
    <w:qFormat/>
    <w:rPr>
      <w:i w:val="false"/>
      <w:w w:val="100"/>
      <w:position w:val="0"/>
      <w:sz w:val="22"/>
      <w:sz w:val="22"/>
      <w:effect w:val="none"/>
      <w:vertAlign w:val="baseline"/>
      <w:em w:val="none"/>
    </w:rPr>
  </w:style>
  <w:style w:type="character" w:styleId="WWCharLFO26LVL1">
    <w:name w:val="WW_CharLFO26LVL1"/>
    <w:qFormat/>
    <w:rPr>
      <w:i w:val="false"/>
      <w:w w:val="100"/>
      <w:position w:val="0"/>
      <w:sz w:val="22"/>
      <w:sz w:val="22"/>
      <w:effect w:val="none"/>
      <w:vertAlign w:val="baseline"/>
      <w:em w:val="none"/>
    </w:rPr>
  </w:style>
  <w:style w:type="character" w:styleId="WWCharLFO26LVL2">
    <w:name w:val="WW_CharLFO26LVL2"/>
    <w:qFormat/>
    <w:rPr>
      <w:b w:val="false"/>
      <w:i w:val="false"/>
      <w:w w:val="100"/>
      <w:position w:val="0"/>
      <w:sz w:val="22"/>
      <w:sz w:val="22"/>
      <w:effect w:val="none"/>
      <w:vertAlign w:val="baseline"/>
      <w:em w:val="none"/>
    </w:rPr>
  </w:style>
  <w:style w:type="character" w:styleId="WWCharLFO26LVL4">
    <w:name w:val="WW_CharLFO26LVL4"/>
    <w:qFormat/>
    <w:rPr>
      <w:i w:val="false"/>
      <w:w w:val="100"/>
      <w:position w:val="0"/>
      <w:sz w:val="22"/>
      <w:sz w:val="22"/>
      <w:effect w:val="none"/>
      <w:vertAlign w:val="baseline"/>
      <w:em w:val="none"/>
    </w:rPr>
  </w:style>
  <w:style w:type="character" w:styleId="WWCharLFO27LVL1">
    <w:name w:val="WW_CharLFO27LVL1"/>
    <w:qFormat/>
    <w:rPr>
      <w:i w:val="false"/>
      <w:w w:val="100"/>
      <w:position w:val="0"/>
      <w:sz w:val="22"/>
      <w:sz w:val="22"/>
      <w:effect w:val="none"/>
      <w:vertAlign w:val="baseline"/>
      <w:em w:val="none"/>
    </w:rPr>
  </w:style>
  <w:style w:type="character" w:styleId="WWCharLFO27LVL2">
    <w:name w:val="WW_CharLFO27LVL2"/>
    <w:qFormat/>
    <w:rPr>
      <w:b w:val="false"/>
      <w:i w:val="false"/>
      <w:w w:val="100"/>
      <w:position w:val="0"/>
      <w:sz w:val="22"/>
      <w:sz w:val="22"/>
      <w:effect w:val="none"/>
      <w:vertAlign w:val="baseline"/>
      <w:em w:val="none"/>
    </w:rPr>
  </w:style>
  <w:style w:type="character" w:styleId="WWCharLFO27LVL4">
    <w:name w:val="WW_CharLFO27LVL4"/>
    <w:qFormat/>
    <w:rPr>
      <w:i w:val="false"/>
      <w:w w:val="100"/>
      <w:position w:val="0"/>
      <w:sz w:val="22"/>
      <w:sz w:val="22"/>
      <w:effect w:val="none"/>
      <w:vertAlign w:val="baseline"/>
      <w:em w:val="none"/>
    </w:rPr>
  </w:style>
  <w:style w:type="character" w:styleId="WWCharLFO29LVL2">
    <w:name w:val="WW_CharLFO29LVL2"/>
    <w:qFormat/>
    <w:rPr>
      <w:rFonts w:ascii="Courier New" w:hAnsi="Courier New" w:cs="Courier New"/>
      <w:w w:val="100"/>
      <w:position w:val="0"/>
      <w:sz w:val="22"/>
      <w:sz w:val="22"/>
      <w:effect w:val="none"/>
      <w:vertAlign w:val="baseline"/>
      <w:em w:val="none"/>
    </w:rPr>
  </w:style>
  <w:style w:type="character" w:styleId="WWCharLFO29LVL3">
    <w:name w:val="WW_CharLFO29LVL3"/>
    <w:qFormat/>
    <w:rPr>
      <w:rFonts w:ascii="Wingdings" w:hAnsi="Wingdings" w:cs="Wingdings"/>
      <w:w w:val="100"/>
      <w:position w:val="0"/>
      <w:sz w:val="22"/>
      <w:sz w:val="22"/>
      <w:effect w:val="none"/>
      <w:vertAlign w:val="baseline"/>
      <w:em w:val="none"/>
    </w:rPr>
  </w:style>
  <w:style w:type="character" w:styleId="WWCharLFO30LVL1">
    <w:name w:val="WW_CharLFO30LVL1"/>
    <w:qFormat/>
    <w:rPr>
      <w:rFonts w:ascii="Tahoma" w:hAnsi="Tahoma" w:cs="Tahoma"/>
      <w:b/>
      <w:i w:val="false"/>
      <w:w w:val="100"/>
      <w:position w:val="0"/>
      <w:sz w:val="22"/>
      <w:sz w:val="22"/>
      <w:effect w:val="none"/>
      <w:vertAlign w:val="baseline"/>
      <w:em w:val="none"/>
    </w:rPr>
  </w:style>
  <w:style w:type="character" w:styleId="WWCharLFO33LVL1">
    <w:name w:val="WW_CharLFO33LVL1"/>
    <w:qFormat/>
    <w:rPr>
      <w:rFonts w:ascii="Tahoma" w:hAnsi="Tahoma" w:cs="Tahoma"/>
      <w:b/>
      <w:i w:val="false"/>
      <w:w w:val="100"/>
      <w:position w:val="0"/>
      <w:sz w:val="22"/>
      <w:sz w:val="22"/>
      <w:effect w:val="none"/>
      <w:vertAlign w:val="baseline"/>
      <w:em w:val="none"/>
    </w:rPr>
  </w:style>
  <w:style w:type="character" w:styleId="WWCharLFO34LVL1">
    <w:name w:val="WW_CharLFO34LVL1"/>
    <w:qFormat/>
    <w:rPr>
      <w:rFonts w:ascii="Symbol" w:hAnsi="Symbol" w:cs="OpenSymbol"/>
      <w:w w:val="100"/>
      <w:position w:val="0"/>
      <w:sz w:val="20"/>
      <w:sz w:val="20"/>
      <w:szCs w:val="20"/>
      <w:effect w:val="none"/>
      <w:vertAlign w:val="baseline"/>
      <w:em w:val="none"/>
    </w:rPr>
  </w:style>
  <w:style w:type="character" w:styleId="WWCharLFO35LVL1">
    <w:name w:val="WW_CharLFO35LVL1"/>
    <w:qFormat/>
    <w:rPr>
      <w:b/>
      <w:bCs/>
      <w:w w:val="100"/>
      <w:position w:val="0"/>
      <w:sz w:val="22"/>
      <w:sz w:val="22"/>
      <w:effect w:val="none"/>
      <w:vertAlign w:val="baseline"/>
      <w:em w:val="none"/>
    </w:rPr>
  </w:style>
  <w:style w:type="character" w:styleId="WWCharLFO38LVL1">
    <w:name w:val="WW_CharLFO38LVL1"/>
    <w:qFormat/>
    <w:rPr>
      <w:rFonts w:ascii="Tahoma" w:hAnsi="Tahoma" w:cs="Tahoma"/>
      <w:b/>
      <w:i w:val="false"/>
      <w:w w:val="100"/>
      <w:position w:val="0"/>
      <w:sz w:val="22"/>
      <w:sz w:val="22"/>
      <w:effect w:val="none"/>
      <w:vertAlign w:val="baseline"/>
      <w:em w:val="none"/>
    </w:rPr>
  </w:style>
  <w:style w:type="character" w:styleId="WWCharLFO40LVL1">
    <w:name w:val="WW_CharLFO40LVL1"/>
    <w:qFormat/>
    <w:rPr>
      <w:rFonts w:ascii="Arial" w:hAnsi="Arial" w:cs="Symbol"/>
      <w:w w:val="100"/>
      <w:position w:val="0"/>
      <w:sz w:val="20"/>
      <w:sz w:val="20"/>
      <w:effect w:val="none"/>
      <w:vertAlign w:val="baseline"/>
      <w:em w:val="none"/>
    </w:rPr>
  </w:style>
  <w:style w:type="character" w:styleId="WWCharLFO40LVL2">
    <w:name w:val="WW_CharLFO40LVL2"/>
    <w:qFormat/>
    <w:rPr>
      <w:rFonts w:ascii="Courier New" w:hAnsi="Courier New" w:cs="Courier New"/>
      <w:w w:val="100"/>
      <w:position w:val="0"/>
      <w:sz w:val="20"/>
      <w:sz w:val="20"/>
      <w:effect w:val="none"/>
      <w:vertAlign w:val="baseline"/>
      <w:em w:val="none"/>
    </w:rPr>
  </w:style>
  <w:style w:type="character" w:styleId="WWCharLFO40LVL3">
    <w:name w:val="WW_CharLFO40LVL3"/>
    <w:qFormat/>
    <w:rPr>
      <w:rFonts w:ascii="Wingdings" w:hAnsi="Wingdings" w:cs="Wingdings"/>
      <w:w w:val="100"/>
      <w:position w:val="0"/>
      <w:sz w:val="20"/>
      <w:sz w:val="20"/>
      <w:effect w:val="none"/>
      <w:vertAlign w:val="baseline"/>
      <w:em w:val="none"/>
    </w:rPr>
  </w:style>
  <w:style w:type="character" w:styleId="WWCharLFO43LVL1">
    <w:name w:val="WW_CharLFO43LVL1"/>
    <w:qFormat/>
    <w:rPr>
      <w:b/>
      <w:w w:val="100"/>
      <w:position w:val="0"/>
      <w:sz w:val="22"/>
      <w:sz w:val="22"/>
      <w:effect w:val="none"/>
      <w:vertAlign w:val="baseline"/>
      <w:em w:val="none"/>
    </w:rPr>
  </w:style>
  <w:style w:type="character" w:styleId="WWCharLFO44LVL1">
    <w:name w:val="WW_CharLFO44LVL1"/>
    <w:qFormat/>
    <w:rPr>
      <w:b w:val="false"/>
      <w:color w:val="00000A"/>
      <w:w w:val="100"/>
      <w:position w:val="0"/>
      <w:sz w:val="20"/>
      <w:sz w:val="20"/>
      <w:szCs w:val="20"/>
      <w:effect w:val="none"/>
      <w:vertAlign w:val="baseline"/>
      <w:em w:val="none"/>
    </w:rPr>
  </w:style>
  <w:style w:type="character" w:styleId="WWCharLFO44LVL2">
    <w:name w:val="WW_CharLFO44LVL2"/>
    <w:qFormat/>
    <w:rPr>
      <w:b w:val="false"/>
      <w:i w:val="false"/>
      <w:color w:val="00000A"/>
      <w:w w:val="100"/>
      <w:position w:val="0"/>
      <w:sz w:val="20"/>
      <w:sz w:val="20"/>
      <w:szCs w:val="20"/>
      <w:effect w:val="none"/>
      <w:vertAlign w:val="baseline"/>
      <w:em w:val="none"/>
    </w:rPr>
  </w:style>
  <w:style w:type="character" w:styleId="WWCharLFO44LVL3">
    <w:name w:val="WW_CharLFO44LVL3"/>
    <w:qFormat/>
    <w:rPr>
      <w:i w:val="false"/>
      <w:w w:val="100"/>
      <w:position w:val="0"/>
      <w:sz w:val="22"/>
      <w:sz w:val="22"/>
      <w:effect w:val="none"/>
      <w:vertAlign w:val="baseline"/>
      <w:em w:val="none"/>
    </w:rPr>
  </w:style>
  <w:style w:type="character" w:styleId="WWCharLFO44LVL4">
    <w:name w:val="WW_CharLFO44LVL4"/>
    <w:qFormat/>
    <w:rPr>
      <w:b/>
      <w:i w:val="false"/>
      <w:w w:val="100"/>
      <w:position w:val="0"/>
      <w:sz w:val="22"/>
      <w:sz w:val="22"/>
      <w:effect w:val="none"/>
      <w:vertAlign w:val="baseline"/>
      <w:em w:val="none"/>
    </w:rPr>
  </w:style>
  <w:style w:type="character" w:styleId="WWCharLFO44LVL5">
    <w:name w:val="WW_CharLFO44LVL5"/>
    <w:qFormat/>
    <w:rPr>
      <w:b w:val="false"/>
      <w:i w:val="false"/>
      <w:color w:val="00000A"/>
      <w:w w:val="100"/>
      <w:position w:val="0"/>
      <w:sz w:val="22"/>
      <w:sz w:val="22"/>
      <w:effect w:val="none"/>
      <w:vertAlign w:val="baseline"/>
      <w:em w:val="none"/>
    </w:rPr>
  </w:style>
  <w:style w:type="character" w:styleId="WWCharLFO44LVL6">
    <w:name w:val="WW_CharLFO44LVL6"/>
    <w:qFormat/>
    <w:rPr>
      <w:b w:val="false"/>
      <w:i w:val="false"/>
      <w:w w:val="100"/>
      <w:position w:val="0"/>
      <w:sz w:val="22"/>
      <w:sz w:val="22"/>
      <w:effect w:val="none"/>
      <w:vertAlign w:val="baseline"/>
      <w:em w:val="none"/>
    </w:rPr>
  </w:style>
  <w:style w:type="character" w:styleId="WWCharLFO44LVL7">
    <w:name w:val="WW_CharLFO44LVL7"/>
    <w:qFormat/>
    <w:rPr>
      <w:color w:val="000000"/>
      <w:w w:val="100"/>
      <w:position w:val="0"/>
      <w:sz w:val="22"/>
      <w:sz w:val="22"/>
      <w:effect w:val="none"/>
      <w:vertAlign w:val="baseline"/>
      <w:em w:val="none"/>
    </w:rPr>
  </w:style>
  <w:style w:type="character" w:styleId="WWCharLFO44LVL8">
    <w:name w:val="WW_CharLFO44LVL8"/>
    <w:qFormat/>
    <w:rPr>
      <w:color w:val="000000"/>
      <w:w w:val="100"/>
      <w:position w:val="0"/>
      <w:sz w:val="22"/>
      <w:sz w:val="22"/>
      <w:effect w:val="none"/>
      <w:vertAlign w:val="baseline"/>
      <w:em w:val="none"/>
    </w:rPr>
  </w:style>
  <w:style w:type="character" w:styleId="WWCharLFO44LVL9">
    <w:name w:val="WW_CharLFO44LVL9"/>
    <w:qFormat/>
    <w:rPr>
      <w:rFonts w:ascii="Arial" w:hAnsi="Arial" w:cs="Arial"/>
      <w:b/>
      <w:w w:val="100"/>
      <w:position w:val="0"/>
      <w:sz w:val="22"/>
      <w:sz w:val="22"/>
      <w:effect w:val="none"/>
      <w:vertAlign w:val="baseline"/>
      <w:em w:val="none"/>
    </w:rPr>
  </w:style>
  <w:style w:type="character" w:styleId="WWCharLFO45LVL1">
    <w:name w:val="WW_CharLFO45LVL1"/>
    <w:qFormat/>
    <w:rPr>
      <w:rFonts w:ascii="Arial" w:hAnsi="Arial" w:cs="Arial"/>
      <w:b w:val="false"/>
      <w:i w:val="false"/>
      <w:strike w:val="false"/>
      <w:dstrike w:val="false"/>
      <w:w w:val="100"/>
      <w:position w:val="0"/>
      <w:sz w:val="20"/>
      <w:sz w:val="20"/>
      <w:szCs w:val="20"/>
      <w:u w:val="none"/>
      <w:effect w:val="none"/>
      <w:vertAlign w:val="baseline"/>
      <w:em w:val="none"/>
    </w:rPr>
  </w:style>
  <w:style w:type="character" w:styleId="WWCharLFO45LVL2">
    <w:name w:val="WW_CharLFO45LVL2"/>
    <w:qFormat/>
    <w:rPr>
      <w:rFonts w:ascii="Arial" w:hAnsi="Arial" w:cs="Arial"/>
      <w:b w:val="false"/>
      <w:i w:val="false"/>
      <w:strike w:val="false"/>
      <w:dstrike w:val="false"/>
      <w:w w:val="100"/>
      <w:position w:val="0"/>
      <w:sz w:val="20"/>
      <w:sz w:val="20"/>
      <w:szCs w:val="20"/>
      <w:effect w:val="none"/>
      <w:vertAlign w:val="baseline"/>
      <w:em w:val="none"/>
    </w:rPr>
  </w:style>
  <w:style w:type="character" w:styleId="WWCharLFO45LVL3">
    <w:name w:val="WW_CharLFO45LVL3"/>
    <w:qFormat/>
    <w:rPr>
      <w:color w:val="000000"/>
      <w:w w:val="100"/>
      <w:position w:val="0"/>
      <w:sz w:val="22"/>
      <w:sz w:val="22"/>
      <w:effect w:val="none"/>
      <w:vertAlign w:val="baseline"/>
      <w:em w:val="none"/>
    </w:rPr>
  </w:style>
  <w:style w:type="character" w:styleId="WWCharLFO45LVL4">
    <w:name w:val="WW_CharLFO45LVL4"/>
    <w:qFormat/>
    <w:rPr>
      <w:color w:val="000000"/>
      <w:w w:val="100"/>
      <w:position w:val="0"/>
      <w:sz w:val="22"/>
      <w:sz w:val="22"/>
      <w:effect w:val="none"/>
      <w:vertAlign w:val="baseline"/>
      <w:em w:val="none"/>
    </w:rPr>
  </w:style>
  <w:style w:type="character" w:styleId="WWCharLFO45LVL5">
    <w:name w:val="WW_CharLFO45LVL5"/>
    <w:qFormat/>
    <w:rPr>
      <w:color w:val="000000"/>
      <w:w w:val="100"/>
      <w:position w:val="0"/>
      <w:sz w:val="22"/>
      <w:sz w:val="22"/>
      <w:effect w:val="none"/>
      <w:vertAlign w:val="baseline"/>
      <w:em w:val="none"/>
    </w:rPr>
  </w:style>
  <w:style w:type="character" w:styleId="WWCharLFO45LVL6">
    <w:name w:val="WW_CharLFO45LVL6"/>
    <w:qFormat/>
    <w:rPr>
      <w:color w:val="000000"/>
      <w:w w:val="100"/>
      <w:position w:val="0"/>
      <w:sz w:val="22"/>
      <w:sz w:val="22"/>
      <w:effect w:val="none"/>
      <w:vertAlign w:val="baseline"/>
      <w:em w:val="none"/>
    </w:rPr>
  </w:style>
  <w:style w:type="character" w:styleId="WWCharLFO45LVL7">
    <w:name w:val="WW_CharLFO45LVL7"/>
    <w:qFormat/>
    <w:rPr>
      <w:color w:val="000000"/>
      <w:w w:val="100"/>
      <w:position w:val="0"/>
      <w:sz w:val="22"/>
      <w:sz w:val="22"/>
      <w:effect w:val="none"/>
      <w:vertAlign w:val="baseline"/>
      <w:em w:val="none"/>
    </w:rPr>
  </w:style>
  <w:style w:type="character" w:styleId="WWCharLFO45LVL8">
    <w:name w:val="WW_CharLFO45LVL8"/>
    <w:qFormat/>
    <w:rPr>
      <w:color w:val="000000"/>
      <w:w w:val="100"/>
      <w:position w:val="0"/>
      <w:sz w:val="22"/>
      <w:sz w:val="22"/>
      <w:effect w:val="none"/>
      <w:vertAlign w:val="baseline"/>
      <w:em w:val="none"/>
    </w:rPr>
  </w:style>
  <w:style w:type="character" w:styleId="WWCharLFO45LVL9">
    <w:name w:val="WW_CharLFO45LVL9"/>
    <w:qFormat/>
    <w:rPr>
      <w:color w:val="000000"/>
      <w:w w:val="100"/>
      <w:position w:val="0"/>
      <w:sz w:val="22"/>
      <w:sz w:val="22"/>
      <w:effect w:val="none"/>
      <w:vertAlign w:val="baseline"/>
      <w:em w:val="none"/>
    </w:rPr>
  </w:style>
  <w:style w:type="character" w:styleId="WWCharLFO46LVL4">
    <w:name w:val="WW_CharLFO46LVL4"/>
    <w:qFormat/>
    <w:rPr>
      <w:w w:val="100"/>
      <w:position w:val="0"/>
      <w:sz w:val="22"/>
      <w:sz w:val="22"/>
      <w:effect w:val="none"/>
      <w:vertAlign w:val="baseline"/>
      <w:em w:val="none"/>
    </w:rPr>
  </w:style>
  <w:style w:type="character" w:styleId="Marcadores">
    <w:name w:val="Marcadores"/>
    <w:qFormat/>
    <w:rPr>
      <w:rFonts w:ascii="OpenSymbol" w:hAnsi="OpenSymbol" w:eastAsia="OpenSymbol" w:cs="OpenSymbol"/>
      <w:w w:val="100"/>
      <w:position w:val="0"/>
      <w:sz w:val="22"/>
      <w:sz w:val="22"/>
      <w:effect w:val="none"/>
      <w:vertAlign w:val="baseline"/>
      <w:em w:val="none"/>
    </w:rPr>
  </w:style>
  <w:style w:type="paragraph" w:styleId="Ttulo">
    <w:name w:val="Título"/>
    <w:basedOn w:val="Normal1"/>
    <w:next w:val="Recuodecorpodetexto21"/>
    <w:qFormat/>
    <w:pPr>
      <w:keepNext w:val="true"/>
      <w:keepLines w:val="false"/>
      <w:pageBreakBefore w:val="false"/>
      <w:widowControl/>
      <w:shd w:val="clear" w:color="auto" w:fill="FFFFFF"/>
      <w:suppressAutoHyphens w:val="false"/>
      <w:overflowPunct w:val="true"/>
      <w:bidi w:val="0"/>
      <w:spacing w:lineRule="auto" w:line="276" w:before="240" w:after="120"/>
      <w:jc w:val="left"/>
      <w:textAlignment w:val="baseline"/>
      <w:outlineLvl w:val="0"/>
    </w:pPr>
    <w:rPr>
      <w:rFonts w:ascii="Myriad Pro" w:hAnsi="Myriad Pro" w:eastAsia="Microsoft YaHei" w:cs="Mangal"/>
      <w:b w:val="false"/>
      <w:bCs w:val="false"/>
      <w:i w:val="false"/>
      <w:iCs w:val="false"/>
      <w:caps w:val="false"/>
      <w:smallCaps w:val="false"/>
      <w:strike w:val="false"/>
      <w:dstrike w:val="false"/>
      <w:outline w:val="false"/>
      <w:spacing w:val="0"/>
      <w:w w:val="100"/>
      <w:kern w:val="2"/>
      <w:position w:val="0"/>
      <w:sz w:val="28"/>
      <w:sz w:val="28"/>
      <w:szCs w:val="28"/>
      <w:u w:val="none"/>
      <w:effect w:val="none"/>
      <w:vertAlign w:val="baseline"/>
      <w:em w:val="none"/>
      <w:lang w:val="pt-BR" w:eastAsia="zh-CN" w:bidi="ar-SA"/>
    </w:rPr>
  </w:style>
  <w:style w:type="paragraph" w:styleId="BodyText">
    <w:name w:val="Body Text"/>
    <w:basedOn w:val="Normal1"/>
    <w:next w:val="Recuodecorpodetexto21"/>
    <w:qFormat/>
    <w:pPr>
      <w:keepNext w:val="false"/>
      <w:keepLines w:val="false"/>
      <w:pageBreakBefore w:val="false"/>
      <w:widowControl/>
      <w:shd w:val="clear" w:color="auto" w:fill="FFFFFF"/>
      <w:suppressAutoHyphens w:val="false"/>
      <w:overflowPunct w:val="true"/>
      <w:bidi w:val="0"/>
      <w:spacing w:lineRule="auto" w:line="276" w:before="0" w:after="12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List">
    <w:name w:val="List"/>
    <w:basedOn w:val="Recuodecorpodetexto21"/>
    <w:next w:val="PargrafodaLista1"/>
    <w:qFormat/>
    <w:pPr>
      <w:keepNext w:val="false"/>
      <w:keepLines w:val="false"/>
      <w:pageBreakBefore w:val="false"/>
      <w:widowControl/>
      <w:shd w:val="clear" w:color="auto" w:fill="FFFFFF"/>
      <w:suppressAutoHyphens w:val="false"/>
      <w:overflowPunct w:val="true"/>
      <w:bidi w:val="0"/>
      <w:spacing w:lineRule="auto" w:line="276" w:before="0" w:after="200"/>
      <w:ind w:hanging="0" w:left="360" w:right="0"/>
      <w:jc w:val="both"/>
      <w:textAlignment w:val="auto"/>
    </w:pPr>
    <w:rPr>
      <w:rFonts w:ascii="Myriad Pro" w:hAnsi="Myriad Pro" w:eastAsia="Myriad Pro" w:cs="Mangal"/>
      <w:b w:val="false"/>
      <w:bCs w:val="false"/>
      <w:i w:val="false"/>
      <w:iCs w:val="false"/>
      <w:caps w:val="false"/>
      <w:smallCaps w:val="false"/>
      <w:strike w:val="false"/>
      <w:dstrike w:val="false"/>
      <w:outline w:val="false"/>
      <w:color w:val="FF0000"/>
      <w:spacing w:val="0"/>
      <w:w w:val="100"/>
      <w:kern w:val="0"/>
      <w:position w:val="0"/>
      <w:sz w:val="22"/>
      <w:sz w:val="22"/>
      <w:szCs w:val="22"/>
      <w:u w:val="none"/>
      <w:effect w:val="none"/>
      <w:vertAlign w:val="baseline"/>
      <w:em w:val="none"/>
      <w:lang w:val="pt-BR" w:eastAsia="zh-CN" w:bidi="ar-SA"/>
    </w:rPr>
  </w:style>
  <w:style w:type="paragraph" w:styleId="Caption">
    <w:name w:val="Caption"/>
    <w:basedOn w:val="Normal1"/>
    <w:qFormat/>
    <w:pPr>
      <w:keepNext w:val="false"/>
      <w:keepLines w:val="false"/>
      <w:pageBreakBefore w:val="false"/>
      <w:widowControl/>
      <w:suppressLineNumbers/>
      <w:shd w:val="clear" w:color="auto" w:fill="auto"/>
      <w:suppressAutoHyphens w:val="false"/>
      <w:overflowPunct w:val="true"/>
      <w:bidi w:val="0"/>
      <w:spacing w:lineRule="auto" w:line="276" w:before="120" w:after="120"/>
      <w:jc w:val="left"/>
      <w:textAlignment w:val="baseline"/>
      <w:outlineLvl w:val="0"/>
    </w:pPr>
    <w:rPr>
      <w:rFonts w:ascii="Calibri" w:hAnsi="Calibri" w:eastAsia="Calibri" w:cs="Ari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Ndice">
    <w:name w:val="Índice"/>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0" w:after="200"/>
      <w:jc w:val="left"/>
      <w:textAlignment w:val="baseline"/>
      <w:outlineLvl w:val="0"/>
    </w:pPr>
    <w:rPr>
      <w:rFonts w:ascii="Calibri" w:hAnsi="Calibri" w:eastAsia="Calibri" w:cs="Mangal"/>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Padro">
    <w:name w:val="Padrão"/>
    <w:qFormat/>
    <w:pPr>
      <w:keepNext w:val="false"/>
      <w:keepLines w:val="false"/>
      <w:pageBreakBefore w:val="false"/>
      <w:widowControl w:val="false"/>
      <w:shd w:val="clear" w:color="auto" w:fill="auto"/>
      <w:suppressAutoHyphens w:val="false"/>
      <w:overflowPunct w:val="true"/>
      <w:bidi w:val="0"/>
      <w:spacing w:lineRule="auto" w:line="240" w:before="0" w:after="20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color w:val="auto"/>
      <w:spacing w:val="0"/>
      <w:w w:val="100"/>
      <w:kern w:val="2"/>
      <w:position w:val="0"/>
      <w:sz w:val="24"/>
      <w:sz w:val="24"/>
      <w:szCs w:val="20"/>
      <w:u w:val="none"/>
      <w:effect w:val="none"/>
      <w:vertAlign w:val="baseline"/>
      <w:em w:val="none"/>
      <w:lang w:val="en-US" w:eastAsia="zh-CN" w:bidi="hi-IN"/>
    </w:rPr>
  </w:style>
  <w:style w:type="paragraph" w:styleId="Recuodecorpodetexto21">
    <w:name w:val="Recuo de corpo de texto 21"/>
    <w:basedOn w:val="Normal1"/>
    <w:qFormat/>
    <w:pPr>
      <w:keepNext w:val="false"/>
      <w:keepLines w:val="false"/>
      <w:pageBreakBefore w:val="false"/>
      <w:widowControl/>
      <w:shd w:val="clear" w:color="auto" w:fill="FFFFFF"/>
      <w:suppressAutoHyphens w:val="false"/>
      <w:overflowPunct w:val="true"/>
      <w:bidi w:val="0"/>
      <w:spacing w:lineRule="auto" w:line="276" w:before="0" w:after="200"/>
      <w:ind w:hanging="0" w:left="360" w:right="0"/>
      <w:jc w:val="both"/>
      <w:textAlignment w:val="auto"/>
      <w:outlineLvl w:val="0"/>
    </w:pPr>
    <w:rPr>
      <w:rFonts w:ascii="Arial" w:hAnsi="Arial" w:eastAsia="Times New Roman" w:cs="Arial"/>
      <w:b w:val="false"/>
      <w:bCs w:val="false"/>
      <w:i w:val="false"/>
      <w:iCs w:val="false"/>
      <w:caps w:val="false"/>
      <w:smallCaps w:val="false"/>
      <w:strike w:val="false"/>
      <w:dstrike w:val="false"/>
      <w:outline w:val="false"/>
      <w:color w:val="FF0000"/>
      <w:spacing w:val="0"/>
      <w:w w:val="100"/>
      <w:kern w:val="0"/>
      <w:position w:val="0"/>
      <w:sz w:val="22"/>
      <w:sz w:val="22"/>
      <w:szCs w:val="22"/>
      <w:u w:val="none"/>
      <w:effect w:val="none"/>
      <w:vertAlign w:val="baseline"/>
      <w:em w:val="none"/>
      <w:lang w:val="pt-BR" w:eastAsia="zh-CN" w:bidi="ar-SA"/>
    </w:rPr>
  </w:style>
  <w:style w:type="paragraph" w:styleId="Caption1">
    <w:name w:val="Caption1"/>
    <w:basedOn w:val="Normal1"/>
    <w:qFormat/>
    <w:pPr>
      <w:keepNext w:val="false"/>
      <w:keepLines w:val="false"/>
      <w:pageBreakBefore w:val="false"/>
      <w:widowControl/>
      <w:suppressLineNumbers/>
      <w:shd w:val="clear" w:color="auto" w:fill="auto"/>
      <w:suppressAutoHyphens w:val="false"/>
      <w:overflowPunct w:val="true"/>
      <w:bidi w:val="0"/>
      <w:spacing w:lineRule="auto" w:line="276" w:before="120" w:after="120"/>
      <w:jc w:val="left"/>
      <w:textAlignment w:val="baseline"/>
      <w:outlineLvl w:val="0"/>
    </w:pPr>
    <w:rPr>
      <w:rFonts w:ascii="Calibri" w:hAnsi="Calibri" w:eastAsia="Calibri" w:cs="Ari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Caption11">
    <w:name w:val="Caption11"/>
    <w:basedOn w:val="Normal1"/>
    <w:qFormat/>
    <w:pPr>
      <w:keepNext w:val="false"/>
      <w:keepLines w:val="false"/>
      <w:pageBreakBefore w:val="false"/>
      <w:widowControl/>
      <w:suppressLineNumbers/>
      <w:shd w:val="clear" w:color="auto" w:fill="auto"/>
      <w:suppressAutoHyphens w:val="false"/>
      <w:overflowPunct w:val="true"/>
      <w:bidi w:val="0"/>
      <w:spacing w:lineRule="auto" w:line="276" w:before="120" w:after="120"/>
      <w:jc w:val="left"/>
      <w:textAlignment w:val="baseline"/>
      <w:outlineLvl w:val="0"/>
    </w:pPr>
    <w:rPr>
      <w:rFonts w:ascii="Calibri" w:hAnsi="Calibri" w:eastAsia="Calibri" w:cs="Ari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Caption111">
    <w:name w:val="Caption111"/>
    <w:basedOn w:val="Normal1"/>
    <w:next w:val="Textodecomentrio"/>
    <w:qFormat/>
    <w:pPr>
      <w:keepNext w:val="false"/>
      <w:keepLines w:val="false"/>
      <w:pageBreakBefore w:val="false"/>
      <w:widowControl/>
      <w:suppressLineNumbers/>
      <w:shd w:val="clear" w:color="auto" w:fill="FFFFFF"/>
      <w:suppressAutoHyphens w:val="false"/>
      <w:overflowPunct w:val="true"/>
      <w:bidi w:val="0"/>
      <w:spacing w:lineRule="auto" w:line="276" w:before="120" w:after="120"/>
      <w:jc w:val="left"/>
      <w:textAlignment w:val="baseline"/>
      <w:outlineLvl w:val="0"/>
    </w:pPr>
    <w:rPr>
      <w:rFonts w:ascii="Myriad Pro" w:hAnsi="Myriad Pro" w:eastAsia="Myriad Pro" w:cs="Mang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LO-Normal1">
    <w:name w:val="LO-Normal1"/>
    <w:next w:val="NormalWeb"/>
    <w:qFormat/>
    <w:pPr>
      <w:keepNext w:val="false"/>
      <w:keepLines w:val="false"/>
      <w:pageBreakBefore w:val="false"/>
      <w:widowControl w:val="false"/>
      <w:shd w:val="clear" w:color="auto" w:fill="auto"/>
      <w:suppressAutoHyphens w:val="false"/>
      <w:overflowPunct w:val="true"/>
      <w:bidi w:val="0"/>
      <w:spacing w:lineRule="auto" w:line="240" w:before="0" w:after="200"/>
      <w:jc w:val="left"/>
      <w:textAlignment w:val="baseline"/>
      <w:outlineLvl w:val="0"/>
    </w:pPr>
    <w:rPr>
      <w:rFonts w:ascii="Arial" w:hAnsi="Arial" w:eastAsia="Arial" w:cs="Arial"/>
      <w:b w:val="false"/>
      <w:bCs w:val="false"/>
      <w:i w:val="false"/>
      <w:iCs w:val="false"/>
      <w:caps w:val="false"/>
      <w:smallCaps w:val="false"/>
      <w:strike w:val="false"/>
      <w:dstrike w:val="false"/>
      <w:outline w:val="false"/>
      <w:color w:val="000000"/>
      <w:spacing w:val="0"/>
      <w:w w:val="100"/>
      <w:kern w:val="2"/>
      <w:position w:val="0"/>
      <w:sz w:val="24"/>
      <w:sz w:val="24"/>
      <w:szCs w:val="24"/>
      <w:u w:val="none"/>
      <w:effect w:val="none"/>
      <w:vertAlign w:val="baseline"/>
      <w:em w:val="none"/>
      <w:lang w:val="pt-BR" w:eastAsia="zh-CN" w:bidi="hi-IN"/>
    </w:rPr>
  </w:style>
  <w:style w:type="paragraph" w:styleId="Titre">
    <w:name w:val="Titre"/>
    <w:basedOn w:val="Padro"/>
    <w:next w:val="Recuodecorpodetexto21"/>
    <w:qFormat/>
    <w:pPr>
      <w:keepNext w:val="false"/>
      <w:keepLines w:val="false"/>
      <w:pageBreakBefore w:val="false"/>
      <w:widowControl w:val="false"/>
      <w:shd w:val="clear" w:color="auto" w:fill="FFFFFF"/>
      <w:suppressAutoHyphens w:val="false"/>
      <w:overflowPunct w:val="true"/>
      <w:bidi w:val="0"/>
      <w:spacing w:lineRule="auto" w:line="240"/>
      <w:jc w:val="center"/>
      <w:textAlignment w:val="baseline"/>
    </w:pPr>
    <w:rPr>
      <w:rFonts w:ascii="Times New Roman" w:hAnsi="Times New Roman" w:eastAsia="Times New Roman" w:cs="Times New Roman"/>
      <w:b/>
      <w:bCs/>
      <w:i w:val="false"/>
      <w:iCs w:val="false"/>
      <w:caps w:val="false"/>
      <w:smallCaps w:val="false"/>
      <w:strike w:val="false"/>
      <w:dstrike w:val="false"/>
      <w:outline w:val="false"/>
      <w:spacing w:val="0"/>
      <w:w w:val="100"/>
      <w:kern w:val="2"/>
      <w:position w:val="0"/>
      <w:sz w:val="56"/>
      <w:sz w:val="56"/>
      <w:szCs w:val="56"/>
      <w:u w:val="none"/>
      <w:effect w:val="none"/>
      <w:vertAlign w:val="baseline"/>
      <w:em w:val="none"/>
      <w:lang w:val="en-US" w:eastAsia="zh-CN" w:bidi="hi-IN"/>
    </w:rPr>
  </w:style>
  <w:style w:type="paragraph" w:styleId="Lgende">
    <w:name w:val="Légende"/>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120" w:after="120"/>
      <w:jc w:val="left"/>
      <w:textAlignment w:val="baseline"/>
      <w:outlineLvl w:val="0"/>
    </w:pPr>
    <w:rPr>
      <w:rFonts w:ascii="Calibri" w:hAnsi="Calibri" w:eastAsia="Calibri" w:cs="Mangal"/>
      <w:b w:val="false"/>
      <w:bCs w:val="false"/>
      <w:i/>
      <w:iCs/>
      <w:caps w:val="false"/>
      <w:smallCaps w:val="false"/>
      <w:strike w:val="false"/>
      <w:dstrike w:val="false"/>
      <w:outline w:val="false"/>
      <w:spacing w:val="0"/>
      <w:w w:val="100"/>
      <w:kern w:val="2"/>
      <w:position w:val="0"/>
      <w:sz w:val="24"/>
      <w:sz w:val="24"/>
      <w:szCs w:val="24"/>
      <w:u w:val="none"/>
      <w:effect w:val="none"/>
      <w:vertAlign w:val="baseline"/>
      <w:em w:val="none"/>
      <w:lang w:val="pt-BR" w:eastAsia="zh-CN" w:bidi="ar-SA"/>
    </w:rPr>
  </w:style>
  <w:style w:type="paragraph" w:styleId="LO-Normal">
    <w:name w:val="LO-Normal"/>
    <w:qFormat/>
    <w:pPr>
      <w:keepNext w:val="false"/>
      <w:keepLines w:val="false"/>
      <w:pageBreakBefore w:val="false"/>
      <w:widowControl w:val="false"/>
      <w:shd w:val="clear" w:color="auto" w:fill="auto"/>
      <w:suppressAutoHyphens w:val="false"/>
      <w:overflowPunct w:val="true"/>
      <w:bidi w:val="0"/>
      <w:spacing w:lineRule="auto" w:line="240" w:before="0" w:after="200"/>
      <w:jc w:val="left"/>
      <w:textAlignment w:val="baseline"/>
      <w:outlineLvl w:val="0"/>
    </w:pPr>
    <w:rPr>
      <w:rFonts w:ascii="Myriad Pro" w:hAnsi="Myriad Pro" w:eastAsia="SimSun" w:cs="Mangal"/>
      <w:b w:val="false"/>
      <w:bCs w:val="false"/>
      <w:i w:val="false"/>
      <w:iCs w:val="false"/>
      <w:caps w:val="false"/>
      <w:smallCaps w:val="false"/>
      <w:strike w:val="false"/>
      <w:dstrike w:val="false"/>
      <w:outline w:val="false"/>
      <w:color w:val="auto"/>
      <w:spacing w:val="0"/>
      <w:w w:val="100"/>
      <w:kern w:val="2"/>
      <w:position w:val="0"/>
      <w:sz w:val="24"/>
      <w:sz w:val="24"/>
      <w:szCs w:val="24"/>
      <w:u w:val="none"/>
      <w:effect w:val="none"/>
      <w:vertAlign w:val="baseline"/>
      <w:em w:val="none"/>
      <w:lang w:val="pt-BR" w:eastAsia="zh-CN" w:bidi="hi-IN"/>
    </w:rPr>
  </w:style>
  <w:style w:type="paragraph" w:styleId="Subtitle">
    <w:name w:val="Subtitle"/>
    <w:basedOn w:val="Normal1"/>
    <w:next w:val="Normal1"/>
    <w:qFormat/>
    <w:pPr>
      <w:keepNext w:val="false"/>
      <w:keepLines w:val="false"/>
      <w:pageBreakBefore w:val="false"/>
      <w:widowControl w:val="false"/>
      <w:shd w:val="clear" w:fill="FFFFFF"/>
      <w:spacing w:lineRule="auto" w:line="240" w:before="0" w:after="0"/>
      <w:ind w:hanging="0" w:left="0" w:right="0"/>
      <w:jc w:val="center"/>
    </w:pPr>
    <w:rPr>
      <w:rFonts w:ascii="Times New Roman" w:hAnsi="Times New Roman" w:eastAsia="Times New Roman" w:cs="Times New Roman"/>
      <w:b w:val="false"/>
      <w:i/>
      <w:caps w:val="false"/>
      <w:smallCaps w:val="false"/>
      <w:strike w:val="false"/>
      <w:dstrike w:val="false"/>
      <w:color w:val="000000"/>
      <w:position w:val="0"/>
      <w:sz w:val="24"/>
      <w:sz w:val="24"/>
      <w:szCs w:val="24"/>
      <w:u w:val="none"/>
      <w:shd w:fill="auto" w:val="clear"/>
      <w:vertAlign w:val="baseline"/>
    </w:rPr>
  </w:style>
  <w:style w:type="paragraph" w:styleId="CabealhoeRodap">
    <w:name w:val="Cabeçalho e Rodapé"/>
    <w:basedOn w:val="Normal1"/>
    <w:qFormat/>
    <w:pPr>
      <w:keepNext w:val="false"/>
      <w:keepLines w:val="false"/>
      <w:pageBreakBefore w:val="false"/>
      <w:widowControl/>
      <w:suppressLineNumbers/>
      <w:shd w:val="clear" w:color="auto" w:fill="FFFFFF"/>
      <w:tabs>
        <w:tab w:val="clear" w:pos="720"/>
        <w:tab w:val="center" w:pos="4819" w:leader="none"/>
        <w:tab w:val="right" w:pos="9638" w:leader="none"/>
      </w:tabs>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Header">
    <w:name w:val="Header"/>
    <w:basedOn w:val="CabealhoeRodap"/>
    <w:qFormat/>
    <w:pPr>
      <w:keepNext w:val="false"/>
      <w:keepLines w:val="false"/>
      <w:pageBreakBefore w:val="false"/>
      <w:widowControl/>
      <w:suppressLineNumbers/>
      <w:shd w:val="clear" w:color="auto" w:fill="FFFFFF"/>
      <w:tabs>
        <w:tab w:val="clear" w:pos="4819"/>
        <w:tab w:val="clear" w:pos="9638"/>
        <w:tab w:val="center" w:pos="4252" w:leader="none"/>
        <w:tab w:val="right" w:pos="8504" w:leader="none"/>
      </w:tabs>
      <w:suppressAutoHyphens w:val="false"/>
      <w:overflowPunct w:val="true"/>
      <w:bidi w:val="0"/>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1"/>
      <w:u w:val="none"/>
      <w:effect w:val="none"/>
      <w:vertAlign w:val="baseline"/>
      <w:em w:val="none"/>
      <w:lang w:val="pt-BR" w:eastAsia="zh-CN" w:bidi="ar-SA"/>
    </w:rPr>
  </w:style>
  <w:style w:type="paragraph" w:styleId="Footer">
    <w:name w:val="Footer"/>
    <w:basedOn w:val="Normal1"/>
    <w:qFormat/>
    <w:pPr>
      <w:keepNext w:val="false"/>
      <w:keepLines w:val="false"/>
      <w:pageBreakBefore w:val="false"/>
      <w:widowControl/>
      <w:shd w:val="clear" w:color="auto" w:fill="FFFFFF"/>
      <w:tabs>
        <w:tab w:val="clear" w:pos="720"/>
        <w:tab w:val="center" w:pos="4252" w:leader="none"/>
        <w:tab w:val="right" w:pos="8504" w:leader="none"/>
      </w:tabs>
      <w:suppressAutoHyphens w:val="false"/>
      <w:overflowPunct w:val="true"/>
      <w:bidi w:val="0"/>
      <w:spacing w:lineRule="auto" w:line="240" w:before="0" w:after="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extodebalo">
    <w:name w:val="Texto de balão"/>
    <w:basedOn w:val="Normal1"/>
    <w:qFormat/>
    <w:pPr>
      <w:keepNext w:val="false"/>
      <w:keepLines w:val="false"/>
      <w:pageBreakBefore w:val="false"/>
      <w:widowControl/>
      <w:shd w:val="clear" w:color="auto" w:fill="FFFFFF"/>
      <w:suppressAutoHyphens w:val="false"/>
      <w:overflowPunct w:val="true"/>
      <w:bidi w:val="0"/>
      <w:spacing w:lineRule="auto" w:line="240" w:before="0" w:after="0"/>
      <w:jc w:val="left"/>
      <w:textAlignment w:val="baseline"/>
      <w:outlineLvl w:val="0"/>
    </w:pPr>
    <w:rPr>
      <w:rFonts w:ascii="Tahoma" w:hAnsi="Tahoma" w:eastAsia="Tahoma" w:cs="Tahoma"/>
      <w:b w:val="false"/>
      <w:bCs w:val="false"/>
      <w:i w:val="false"/>
      <w:iCs w:val="false"/>
      <w:caps w:val="false"/>
      <w:smallCaps w:val="false"/>
      <w:strike w:val="false"/>
      <w:dstrike w:val="false"/>
      <w:outline w:val="false"/>
      <w:spacing w:val="0"/>
      <w:w w:val="100"/>
      <w:kern w:val="2"/>
      <w:position w:val="0"/>
      <w:sz w:val="16"/>
      <w:sz w:val="16"/>
      <w:szCs w:val="16"/>
      <w:u w:val="none"/>
      <w:effect w:val="none"/>
      <w:vertAlign w:val="baseline"/>
      <w:em w:val="none"/>
      <w:lang w:val="pt-BR" w:eastAsia="zh-CN" w:bidi="ar-SA"/>
    </w:rPr>
  </w:style>
  <w:style w:type="paragraph" w:styleId="Contedodoquadro">
    <w:name w:val="Conteúdo do quadro"/>
    <w:basedOn w:val="Recuodecorpodetexto21"/>
    <w:qFormat/>
    <w:pPr>
      <w:keepNext w:val="false"/>
      <w:keepLines w:val="false"/>
      <w:pageBreakBefore w:val="false"/>
      <w:widowControl/>
      <w:shd w:val="clear" w:color="auto" w:fill="FFFFFF"/>
      <w:suppressAutoHyphens w:val="false"/>
      <w:overflowPunct w:val="true"/>
      <w:bidi w:val="0"/>
      <w:spacing w:lineRule="auto" w:line="276" w:before="0" w:after="200"/>
      <w:ind w:hanging="0" w:left="360" w:right="0"/>
      <w:jc w:val="both"/>
      <w:textAlignment w:val="auto"/>
    </w:pPr>
    <w:rPr>
      <w:rFonts w:ascii="Arial" w:hAnsi="Arial" w:eastAsia="Times New Roman" w:cs="Arial"/>
      <w:b w:val="false"/>
      <w:bCs w:val="false"/>
      <w:i w:val="false"/>
      <w:iCs w:val="false"/>
      <w:caps w:val="false"/>
      <w:smallCaps w:val="false"/>
      <w:strike w:val="false"/>
      <w:dstrike w:val="false"/>
      <w:outline w:val="false"/>
      <w:color w:val="FF0000"/>
      <w:spacing w:val="0"/>
      <w:w w:val="100"/>
      <w:kern w:val="0"/>
      <w:position w:val="0"/>
      <w:sz w:val="22"/>
      <w:sz w:val="22"/>
      <w:szCs w:val="22"/>
      <w:u w:val="none"/>
      <w:effect w:val="none"/>
      <w:vertAlign w:val="baseline"/>
      <w:em w:val="none"/>
      <w:lang w:val="pt-BR" w:eastAsia="zh-CN" w:bidi="ar-SA"/>
    </w:rPr>
  </w:style>
  <w:style w:type="paragraph" w:styleId="Western">
    <w:name w:val="western"/>
    <w:basedOn w:val="Normal1"/>
    <w:qFormat/>
    <w:pPr>
      <w:keepNext w:val="false"/>
      <w:keepLines w:val="false"/>
      <w:pageBreakBefore w:val="false"/>
      <w:widowControl/>
      <w:shd w:val="clear" w:color="auto" w:fill="FFFFFF"/>
      <w:suppressAutoHyphens w:val="false"/>
      <w:overflowPunct w:val="true"/>
      <w:bidi w:val="0"/>
      <w:spacing w:lineRule="auto" w:line="276" w:before="280" w:after="119"/>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PargrafodaLista">
    <w:name w:val="Parágrafo da Lista"/>
    <w:basedOn w:val="Normal1"/>
    <w:qFormat/>
    <w:pPr>
      <w:keepNext w:val="false"/>
      <w:keepLines w:val="false"/>
      <w:pageBreakBefore w:val="false"/>
      <w:widowControl/>
      <w:shd w:val="clear" w:color="auto" w:fill="FFFFFF"/>
      <w:suppressAutoHyphens w:val="false"/>
      <w:overflowPunct w:val="true"/>
      <w:bidi w:val="0"/>
      <w:spacing w:lineRule="auto" w:line="276" w:before="0" w:after="0"/>
      <w:ind w:hanging="0" w:left="720" w:right="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Corpodetexto3">
    <w:name w:val="Corpo de texto 3"/>
    <w:basedOn w:val="Normal1"/>
    <w:qFormat/>
    <w:pPr>
      <w:keepNext w:val="false"/>
      <w:keepLines w:val="false"/>
      <w:pageBreakBefore w:val="false"/>
      <w:widowControl/>
      <w:shd w:val="clear" w:color="auto" w:fill="FFFFFF"/>
      <w:tabs>
        <w:tab w:val="clear" w:pos="720"/>
        <w:tab w:val="left" w:pos="284" w:leader="none"/>
      </w:tabs>
      <w:suppressAutoHyphens w:val="false"/>
      <w:overflowPunct w:val="true"/>
      <w:bidi w:val="0"/>
      <w:spacing w:lineRule="auto" w:line="276" w:before="0" w:after="200"/>
      <w:jc w:val="both"/>
      <w:textAlignment w:val="baseline"/>
      <w:outlineLvl w:val="0"/>
    </w:pPr>
    <w:rPr>
      <w:rFonts w:ascii="Arial" w:hAnsi="Arial" w:eastAsia="Arial" w:cs="Arial"/>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Recuodecorpodetexto3">
    <w:name w:val="Recuo de corpo de texto 3"/>
    <w:basedOn w:val="Normal1"/>
    <w:qFormat/>
    <w:pPr>
      <w:keepNext w:val="false"/>
      <w:keepLines w:val="false"/>
      <w:pageBreakBefore w:val="false"/>
      <w:widowControl/>
      <w:shd w:val="clear" w:color="auto" w:fill="FFFFFF"/>
      <w:suppressAutoHyphens w:val="false"/>
      <w:overflowPunct w:val="true"/>
      <w:bidi w:val="0"/>
      <w:spacing w:lineRule="auto" w:line="276" w:before="0" w:after="0"/>
      <w:ind w:firstLine="2835" w:left="567" w:right="0"/>
      <w:jc w:val="both"/>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4"/>
      <w:sz w:val="24"/>
      <w:szCs w:val="22"/>
      <w:u w:val="none"/>
      <w:effect w:val="none"/>
      <w:vertAlign w:val="baseline"/>
      <w:em w:val="none"/>
      <w:lang w:val="pt-BR" w:eastAsia="zh-CN" w:bidi="ar-SA"/>
    </w:rPr>
  </w:style>
  <w:style w:type="paragraph" w:styleId="H3">
    <w:name w:val="H3"/>
    <w:basedOn w:val="Normal1"/>
    <w:next w:val="Normal1"/>
    <w:qFormat/>
    <w:pPr>
      <w:keepNext w:val="true"/>
      <w:keepLines w:val="false"/>
      <w:pageBreakBefore w:val="false"/>
      <w:widowControl/>
      <w:shd w:val="clear" w:color="auto" w:fill="FFFFFF"/>
      <w:suppressAutoHyphens w:val="false"/>
      <w:overflowPunct w:val="true"/>
      <w:bidi w:val="0"/>
      <w:spacing w:lineRule="auto" w:line="276" w:before="100" w:after="100"/>
      <w:jc w:val="left"/>
      <w:textAlignment w:val="baseline"/>
      <w:outlineLvl w:val="0"/>
    </w:pPr>
    <w:rPr>
      <w:rFonts w:ascii="Calibri" w:hAnsi="Calibri" w:eastAsia="Calibri" w:cs="Times New Roman"/>
      <w:b/>
      <w:bCs w:val="false"/>
      <w:i w:val="false"/>
      <w:iCs w:val="false"/>
      <w:caps w:val="false"/>
      <w:smallCaps w:val="false"/>
      <w:strike w:val="false"/>
      <w:dstrike w:val="false"/>
      <w:outline w:val="false"/>
      <w:spacing w:val="0"/>
      <w:w w:val="100"/>
      <w:kern w:val="2"/>
      <w:position w:val="0"/>
      <w:sz w:val="28"/>
      <w:sz w:val="28"/>
      <w:szCs w:val="22"/>
      <w:u w:val="none"/>
      <w:effect w:val="none"/>
      <w:vertAlign w:val="baseline"/>
      <w:em w:val="none"/>
      <w:lang w:val="pt-BR" w:eastAsia="zh-CN" w:bidi="ar-SA"/>
    </w:rPr>
  </w:style>
  <w:style w:type="paragraph" w:styleId="Citaes">
    <w:name w:val="Citações"/>
    <w:basedOn w:val="Normal1"/>
    <w:qFormat/>
    <w:pPr>
      <w:keepNext w:val="false"/>
      <w:keepLines w:val="false"/>
      <w:pageBreakBefore w:val="false"/>
      <w:widowControl/>
      <w:shd w:val="clear" w:color="auto" w:fill="FFFFFF"/>
      <w:suppressAutoHyphens w:val="false"/>
      <w:overflowPunct w:val="true"/>
      <w:bidi w:val="0"/>
      <w:spacing w:lineRule="auto" w:line="276" w:before="0" w:after="283"/>
      <w:ind w:hanging="0" w:left="567" w:right="567"/>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Contedodatabela">
    <w:name w:val="Conteúdo da tabela"/>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tulodetabela">
    <w:name w:val="Título de tabela"/>
    <w:basedOn w:val="Contedodatabela"/>
    <w:qFormat/>
    <w:pPr>
      <w:keepNext w:val="false"/>
      <w:keepLines w:val="false"/>
      <w:pageBreakBefore w:val="false"/>
      <w:widowControl/>
      <w:suppressLineNumbers/>
      <w:shd w:val="clear" w:color="auto" w:fill="FFFFFF"/>
      <w:suppressAutoHyphens w:val="false"/>
      <w:overflowPunct w:val="true"/>
      <w:bidi w:val="0"/>
      <w:spacing w:lineRule="auto" w:line="276" w:before="0" w:after="200"/>
      <w:jc w:val="center"/>
      <w:textAlignment w:val="baseline"/>
    </w:pPr>
    <w:rPr>
      <w:rFonts w:ascii="Calibri" w:hAnsi="Calibri" w:eastAsia="Calibri" w:cs="Times New Roman"/>
      <w:b/>
      <w:bCs/>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Linhahorizontal">
    <w:name w:val="Linha horizontal"/>
    <w:basedOn w:val="Normal1"/>
    <w:next w:val="Recuodecorpodetexto21"/>
    <w:qFormat/>
    <w:pPr>
      <w:keepNext w:val="false"/>
      <w:keepLines w:val="false"/>
      <w:pageBreakBefore w:val="false"/>
      <w:widowControl/>
      <w:suppressLineNumbers/>
      <w:shd w:val="clear" w:color="auto" w:fill="FFFFFF"/>
      <w:suppressAutoHyphens w:val="false"/>
      <w:overflowPunct w:val="true"/>
      <w:bidi w:val="0"/>
      <w:spacing w:lineRule="auto" w:line="276" w:before="0" w:after="283"/>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12"/>
      <w:sz w:val="12"/>
      <w:szCs w:val="12"/>
      <w:u w:val="none"/>
      <w:effect w:val="none"/>
      <w:vertAlign w:val="baseline"/>
      <w:em w:val="none"/>
      <w:lang w:val="pt-BR" w:eastAsia="zh-CN" w:bidi="ar-SA"/>
    </w:rPr>
  </w:style>
  <w:style w:type="paragraph" w:styleId="Corpodetexto2">
    <w:name w:val="Corpo de texto 2"/>
    <w:basedOn w:val="Normal1"/>
    <w:qFormat/>
    <w:pPr>
      <w:keepNext w:val="false"/>
      <w:keepLines w:val="false"/>
      <w:pageBreakBefore w:val="false"/>
      <w:widowControl/>
      <w:shd w:val="clear" w:color="auto" w:fill="FFFFFF"/>
      <w:suppressAutoHyphens w:val="false"/>
      <w:overflowPunct w:val="true"/>
      <w:bidi w:val="0"/>
      <w:spacing w:lineRule="auto" w:line="276" w:before="0" w:after="200"/>
      <w:jc w:val="both"/>
      <w:textAlignment w:val="baseline"/>
      <w:outlineLvl w:val="0"/>
    </w:pPr>
    <w:rPr>
      <w:rFonts w:ascii="Calibri" w:hAnsi="Calibri" w:eastAsia="Calibri" w:cs="Times New Roman"/>
      <w:b/>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WW-Standard">
    <w:name w:val="WW-Standard"/>
    <w:qFormat/>
    <w:pPr>
      <w:keepNext w:val="false"/>
      <w:keepLines w:val="false"/>
      <w:pageBreakBefore w:val="false"/>
      <w:widowControl/>
      <w:shd w:val="clear" w:color="auto" w:fill="auto"/>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color w:val="auto"/>
      <w:spacing w:val="0"/>
      <w:w w:val="100"/>
      <w:kern w:val="2"/>
      <w:position w:val="0"/>
      <w:sz w:val="22"/>
      <w:sz w:val="22"/>
      <w:szCs w:val="22"/>
      <w:u w:val="none"/>
      <w:effect w:val="none"/>
      <w:vertAlign w:val="baseline"/>
      <w:em w:val="none"/>
      <w:lang w:val="pt-BR" w:eastAsia="zh-CN" w:bidi="ar-SA"/>
    </w:rPr>
  </w:style>
  <w:style w:type="paragraph" w:styleId="FootnoteText">
    <w:name w:val="Footnote Text"/>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0" w:after="0"/>
      <w:ind w:hanging="339" w:left="339" w:right="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0"/>
      <w:sz w:val="20"/>
      <w:szCs w:val="20"/>
      <w:u w:val="none"/>
      <w:effect w:val="none"/>
      <w:vertAlign w:val="baseline"/>
      <w:em w:val="none"/>
      <w:lang w:val="pt-BR" w:eastAsia="zh-CN" w:bidi="ar-SA"/>
    </w:rPr>
  </w:style>
  <w:style w:type="paragraph" w:styleId="Estiloaa">
    <w:name w:val="Estiloaa"/>
    <w:qFormat/>
    <w:pPr>
      <w:keepNext w:val="false"/>
      <w:keepLines w:val="false"/>
      <w:pageBreakBefore w:val="false"/>
      <w:widowControl w:val="false"/>
      <w:shd w:val="clear" w:color="auto" w:fill="auto"/>
      <w:tabs>
        <w:tab w:val="left" w:pos="720" w:leader="none"/>
      </w:tabs>
      <w:suppressAutoHyphens w:val="true"/>
      <w:overflowPunct w:val="true"/>
      <w:bidi w:val="0"/>
      <w:spacing w:lineRule="auto" w:line="240" w:before="240" w:after="0"/>
      <w:jc w:val="both"/>
      <w:textAlignment w:val="baseline"/>
      <w:outlineLvl w:val="0"/>
    </w:pPr>
    <w:rPr>
      <w:rFonts w:ascii="Arial" w:hAnsi="Arial" w:eastAsia="Arial" w:cs="Times New Roman"/>
      <w:b w:val="false"/>
      <w:bCs w:val="false"/>
      <w:i w:val="false"/>
      <w:iCs w:val="false"/>
      <w:caps w:val="false"/>
      <w:smallCaps w:val="false"/>
      <w:strike w:val="false"/>
      <w:dstrike w:val="false"/>
      <w:outline w:val="false"/>
      <w:color w:val="auto"/>
      <w:spacing w:val="0"/>
      <w:w w:val="100"/>
      <w:kern w:val="2"/>
      <w:position w:val="0"/>
      <w:sz w:val="24"/>
      <w:sz w:val="24"/>
      <w:szCs w:val="20"/>
      <w:u w:val="none"/>
      <w:effect w:val="none"/>
      <w:vertAlign w:val="baseline"/>
      <w:em w:val="none"/>
      <w:lang w:val="pt-BR" w:eastAsia="zh-CN" w:bidi="ar-SA"/>
    </w:rPr>
  </w:style>
  <w:style w:type="paragraph" w:styleId="Contedodetabela">
    <w:name w:val="Conteúdo de tabela"/>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WW-Padro">
    <w:name w:val="WW-Padrão"/>
    <w:qFormat/>
    <w:pPr>
      <w:keepNext w:val="false"/>
      <w:keepLines w:val="false"/>
      <w:pageBreakBefore w:val="false"/>
      <w:widowControl w:val="false"/>
      <w:shd w:val="clear" w:color="auto" w:fill="auto"/>
      <w:suppressAutoHyphens w:val="false"/>
      <w:overflowPunct w:val="true"/>
      <w:bidi w:val="0"/>
      <w:spacing w:lineRule="auto" w:line="240" w:before="0" w:after="200"/>
      <w:jc w:val="both"/>
      <w:textAlignment w:val="baseline"/>
      <w:outlineLvl w:val="0"/>
    </w:pPr>
    <w:rPr>
      <w:rFonts w:ascii="Times New Roman" w:hAnsi="Times New Roman" w:eastAsia="Bitstream Vera Sans" w:cs="Bitstream Vera Sans"/>
      <w:b w:val="false"/>
      <w:bCs w:val="false"/>
      <w:i w:val="false"/>
      <w:iCs w:val="false"/>
      <w:caps w:val="false"/>
      <w:smallCaps w:val="false"/>
      <w:strike w:val="false"/>
      <w:dstrike w:val="false"/>
      <w:outline w:val="false"/>
      <w:color w:val="auto"/>
      <w:spacing w:val="0"/>
      <w:w w:val="100"/>
      <w:kern w:val="2"/>
      <w:position w:val="0"/>
      <w:sz w:val="24"/>
      <w:sz w:val="24"/>
      <w:szCs w:val="24"/>
      <w:u w:val="none"/>
      <w:effect w:val="none"/>
      <w:vertAlign w:val="baseline"/>
      <w:em w:val="none"/>
      <w:lang w:val="pt-BR" w:eastAsia="zh-CN" w:bidi="hi-IN"/>
    </w:rPr>
  </w:style>
  <w:style w:type="paragraph" w:styleId="BodyTextIndent">
    <w:name w:val="Body Text Indent"/>
    <w:basedOn w:val="Recuodecorpodetexto21"/>
    <w:qFormat/>
    <w:pPr>
      <w:keepNext w:val="false"/>
      <w:keepLines w:val="false"/>
      <w:pageBreakBefore w:val="false"/>
      <w:widowControl/>
      <w:shd w:val="clear" w:color="auto" w:fill="FFFFFF"/>
      <w:suppressAutoHyphens w:val="false"/>
      <w:overflowPunct w:val="true"/>
      <w:bidi w:val="0"/>
      <w:spacing w:lineRule="auto" w:line="276" w:before="0" w:after="0"/>
      <w:ind w:hanging="0" w:left="283" w:right="0"/>
      <w:jc w:val="both"/>
      <w:textAlignment w:val="auto"/>
    </w:pPr>
    <w:rPr>
      <w:rFonts w:ascii="Arial" w:hAnsi="Arial" w:eastAsia="Times New Roman" w:cs="Arial"/>
      <w:b w:val="false"/>
      <w:bCs w:val="false"/>
      <w:i w:val="false"/>
      <w:iCs w:val="false"/>
      <w:caps w:val="false"/>
      <w:smallCaps w:val="false"/>
      <w:strike w:val="false"/>
      <w:dstrike w:val="false"/>
      <w:outline w:val="false"/>
      <w:color w:val="FF0000"/>
      <w:spacing w:val="0"/>
      <w:w w:val="100"/>
      <w:kern w:val="0"/>
      <w:position w:val="0"/>
      <w:sz w:val="22"/>
      <w:sz w:val="22"/>
      <w:szCs w:val="22"/>
      <w:u w:val="none"/>
      <w:effect w:val="none"/>
      <w:vertAlign w:val="baseline"/>
      <w:em w:val="none"/>
      <w:lang w:val="pt-BR" w:eastAsia="zh-CN" w:bidi="ar-SA"/>
    </w:rPr>
  </w:style>
  <w:style w:type="paragraph" w:styleId="WW-Corpodetexto2">
    <w:name w:val="WW-Corpo de texto 2"/>
    <w:basedOn w:val="Normal1"/>
    <w:qFormat/>
    <w:pPr>
      <w:keepNext w:val="false"/>
      <w:keepLines w:val="false"/>
      <w:pageBreakBefore w:val="false"/>
      <w:widowControl/>
      <w:shd w:val="clear" w:color="auto" w:fill="FFFFFF"/>
      <w:suppressAutoHyphens w:val="false"/>
      <w:overflowPunct w:val="true"/>
      <w:bidi w:val="0"/>
      <w:spacing w:lineRule="auto" w:line="300" w:before="0" w:after="200"/>
      <w:jc w:val="both"/>
      <w:textAlignment w:val="baseline"/>
      <w:outlineLvl w:val="0"/>
    </w:pPr>
    <w:rPr>
      <w:rFonts w:ascii="Verdana" w:hAnsi="Verdana" w:eastAsia="Verdana" w:cs="Verdana"/>
      <w:b/>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Contenudetableau">
    <w:name w:val="Contenu de tableau"/>
    <w:basedOn w:val="Normal1"/>
    <w:qFormat/>
    <w:pPr>
      <w:keepNext w:val="false"/>
      <w:keepLines w:val="false"/>
      <w:pageBreakBefore w:val="false"/>
      <w:widowControl/>
      <w:suppressLineNumbers/>
      <w:shd w:val="clear" w:color="auto" w:fill="FFFFFF"/>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itredetableau">
    <w:name w:val="Titre de tableau"/>
    <w:qFormat/>
    <w:pPr>
      <w:widowControl w:val="false"/>
      <w:shd w:val="clear" w:color="auto" w:fill="FFFFFF"/>
      <w:suppressAutoHyphens w:val="false"/>
      <w:bidi w:val="0"/>
      <w:spacing w:lineRule="atLeast" w:line="1" w:before="0" w:after="200"/>
      <w:jc w:val="center"/>
      <w:textAlignment w:val="top"/>
      <w:outlineLvl w:val="0"/>
    </w:pPr>
    <w:rPr>
      <w:rFonts w:ascii="Liberation Serif" w:hAnsi="Liberation Serif" w:eastAsia="NSimSun" w:cs="Arial"/>
      <w:b/>
      <w:bCs/>
      <w:color w:val="auto"/>
      <w:w w:val="100"/>
      <w:kern w:val="0"/>
      <w:position w:val="-1"/>
      <w:sz w:val="24"/>
      <w:szCs w:val="24"/>
      <w:effect w:val="none"/>
      <w:em w:val="none"/>
      <w:lang w:val="pt-BR" w:eastAsia="zh-CN" w:bidi="hi-IN"/>
    </w:rPr>
  </w:style>
  <w:style w:type="paragraph" w:styleId="Citao">
    <w:name w:val="Citação"/>
    <w:basedOn w:val="Normal1"/>
    <w:next w:val="Normal1"/>
    <w:qFormat/>
    <w:pPr>
      <w:keepNext w:val="false"/>
      <w:keepLines w:val="false"/>
      <w:pageBreakBefore w:val="false"/>
      <w:widowControl/>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bidi w:val="0"/>
      <w:spacing w:lineRule="auto" w:line="276" w:before="120" w:after="0"/>
      <w:jc w:val="both"/>
      <w:textAlignment w:val="baseline"/>
      <w:outlineLvl w:val="0"/>
    </w:pPr>
    <w:rPr>
      <w:rFonts w:ascii="Arial" w:hAnsi="Arial" w:eastAsia="Arial" w:cs="Arial"/>
      <w:b w:val="false"/>
      <w:bCs w:val="false"/>
      <w:i/>
      <w:iCs/>
      <w:caps w:val="false"/>
      <w:smallCaps w:val="false"/>
      <w:strike w:val="false"/>
      <w:dstrike w:val="false"/>
      <w:outline w:val="false"/>
      <w:color w:val="000000"/>
      <w:spacing w:val="0"/>
      <w:w w:val="100"/>
      <w:kern w:val="2"/>
      <w:position w:val="0"/>
      <w:sz w:val="20"/>
      <w:sz w:val="20"/>
      <w:szCs w:val="22"/>
      <w:u w:val="none"/>
      <w:effect w:val="none"/>
      <w:vertAlign w:val="baseline"/>
      <w:em w:val="none"/>
      <w:lang w:val="pt-BR" w:eastAsia="en-US" w:bidi="ar-SA"/>
    </w:rPr>
  </w:style>
  <w:style w:type="paragraph" w:styleId="Nivel01">
    <w:name w:val="Nivel 01"/>
    <w:basedOn w:val="Heading1"/>
    <w:next w:val="Normal1"/>
    <w:qFormat/>
    <w:pPr>
      <w:keepNext w:val="false"/>
      <w:keepLines w:val="false"/>
      <w:pageBreakBefore w:val="false"/>
      <w:widowControl w:val="false"/>
      <w:numPr>
        <w:ilvl w:val="0"/>
        <w:numId w:val="0"/>
      </w:numPr>
      <w:shd w:val="clear" w:color="auto" w:fill="FFFFFF"/>
      <w:tabs>
        <w:tab w:val="clear" w:pos="720"/>
        <w:tab w:val="left" w:pos="567" w:leader="none"/>
      </w:tabs>
      <w:suppressAutoHyphens w:val="false"/>
      <w:overflowPunct w:val="true"/>
      <w:bidi w:val="0"/>
      <w:spacing w:lineRule="auto" w:line="240" w:before="0" w:after="0"/>
      <w:ind w:hanging="0" w:left="0" w:right="0"/>
      <w:jc w:val="both"/>
      <w:textAlignment w:val="baseline"/>
      <w:outlineLvl w:val="9"/>
    </w:pPr>
    <w:rPr>
      <w:rFonts w:ascii="Ecofont_Spranq_eco_Sans" w:hAnsi="Ecofont_Spranq_eco_Sans" w:eastAsia="Ecofont_Spranq_eco_Sans" w:cs="Times New Roman"/>
      <w:b/>
      <w:bCs/>
      <w:i w:val="false"/>
      <w:iCs w:val="false"/>
      <w:caps w:val="false"/>
      <w:smallCaps w:val="false"/>
      <w:strike w:val="false"/>
      <w:dstrike w:val="false"/>
      <w:outline w:val="false"/>
      <w:color w:val="000000"/>
      <w:spacing w:val="0"/>
      <w:w w:val="100"/>
      <w:kern w:val="2"/>
      <w:position w:val="0"/>
      <w:sz w:val="20"/>
      <w:sz w:val="20"/>
      <w:szCs w:val="20"/>
      <w:u w:val="none"/>
      <w:effect w:val="none"/>
      <w:vertAlign w:val="baseline"/>
      <w:em w:val="none"/>
      <w:lang w:val="en-US" w:eastAsia="zh-CN" w:bidi="hi-IN"/>
    </w:rPr>
  </w:style>
  <w:style w:type="paragraph" w:styleId="Citao2">
    <w:name w:val="citação 2"/>
    <w:qFormat/>
    <w:pPr>
      <w:widowControl w:val="false"/>
      <w:shd w:val="clear" w:color="auto" w:fill="FFFFCC"/>
      <w:suppressAutoHyphens w:val="false"/>
      <w:bidi w:val="0"/>
      <w:spacing w:lineRule="atLeast" w:line="1" w:before="0" w:after="200"/>
      <w:jc w:val="left"/>
      <w:textAlignment w:val="top"/>
      <w:outlineLvl w:val="0"/>
    </w:pPr>
    <w:rPr>
      <w:rFonts w:ascii="Liberation Serif" w:hAnsi="Liberation Serif" w:eastAsia="NSimSun" w:cs="Arial"/>
      <w:color w:val="auto"/>
      <w:w w:val="100"/>
      <w:kern w:val="0"/>
      <w:position w:val="-1"/>
      <w:sz w:val="24"/>
      <w:szCs w:val="20"/>
      <w:effect w:val="none"/>
      <w:em w:val="none"/>
      <w:lang w:val="pt-BR" w:eastAsia="zh-CN" w:bidi="hi-IN"/>
    </w:rPr>
  </w:style>
  <w:style w:type="paragraph" w:styleId="Citao1">
    <w:name w:val="Citação1"/>
    <w:basedOn w:val="Normal1"/>
    <w:next w:val="Normal1"/>
    <w:qFormat/>
    <w:pPr>
      <w:keepNext w:val="false"/>
      <w:keepLines w:val="false"/>
      <w:pageBreakBefore w:val="false"/>
      <w:widowControl/>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bidi w:val="0"/>
      <w:spacing w:lineRule="auto" w:line="276" w:before="120" w:after="0"/>
      <w:jc w:val="both"/>
      <w:textAlignment w:val="baseline"/>
      <w:outlineLvl w:val="0"/>
    </w:pPr>
    <w:rPr>
      <w:rFonts w:ascii="Ecofont_Spranq_eco_Sans" w:hAnsi="Ecofont_Spranq_eco_Sans" w:eastAsia="Ecofont_Spranq_eco_Sans" w:cs="Ecofont_Spranq_eco_Sans"/>
      <w:b w:val="false"/>
      <w:bCs w:val="false"/>
      <w:i/>
      <w:iCs/>
      <w:caps w:val="false"/>
      <w:smallCaps w:val="false"/>
      <w:strike w:val="false"/>
      <w:dstrike w:val="false"/>
      <w:outline w:val="false"/>
      <w:color w:val="000000"/>
      <w:spacing w:val="0"/>
      <w:w w:val="100"/>
      <w:kern w:val="2"/>
      <w:position w:val="0"/>
      <w:sz w:val="22"/>
      <w:sz w:val="22"/>
      <w:szCs w:val="20"/>
      <w:u w:val="none"/>
      <w:effect w:val="none"/>
      <w:vertAlign w:val="baseline"/>
      <w:em w:val="none"/>
      <w:lang w:val="pt-BR" w:eastAsia="en-US" w:bidi="ar-SA"/>
    </w:rPr>
  </w:style>
  <w:style w:type="paragraph" w:styleId="PADRO1">
    <w:name w:val="PADRÃO"/>
    <w:qFormat/>
    <w:pPr>
      <w:keepNext w:val="true"/>
      <w:keepLines w:val="false"/>
      <w:pageBreakBefore w:val="false"/>
      <w:widowControl w:val="false"/>
      <w:shd w:val="clear" w:color="auto" w:fill="auto"/>
      <w:suppressAutoHyphens w:val="false"/>
      <w:overflowPunct w:val="true"/>
      <w:bidi w:val="0"/>
      <w:spacing w:lineRule="auto" w:line="276" w:before="119" w:after="119"/>
      <w:ind w:firstLine="567" w:left="0" w:right="0"/>
      <w:jc w:val="both"/>
      <w:textAlignment w:val="baseline"/>
      <w:outlineLvl w:val="0"/>
    </w:pPr>
    <w:rPr>
      <w:rFonts w:ascii="Ecofont_Spranq_eco_Sans" w:hAnsi="Ecofont_Spranq_eco_Sans" w:eastAsia="WenQuanYi Micro Hei" w:cs="Lohit Hindi"/>
      <w:b w:val="false"/>
      <w:bCs w:val="false"/>
      <w:i w:val="false"/>
      <w:iCs w:val="false"/>
      <w:caps w:val="false"/>
      <w:smallCaps w:val="false"/>
      <w:strike w:val="false"/>
      <w:dstrike w:val="false"/>
      <w:outline w:val="false"/>
      <w:color w:val="auto"/>
      <w:spacing w:val="0"/>
      <w:w w:val="100"/>
      <w:kern w:val="2"/>
      <w:position w:val="0"/>
      <w:sz w:val="24"/>
      <w:sz w:val="24"/>
      <w:szCs w:val="24"/>
      <w:u w:val="none"/>
      <w:effect w:val="none"/>
      <w:vertAlign w:val="baseline"/>
      <w:em w:val="none"/>
      <w:lang w:val="pt-BR" w:eastAsia="zh-CN" w:bidi="hi-IN"/>
    </w:rPr>
  </w:style>
  <w:style w:type="paragraph" w:styleId="Paragraph">
    <w:name w:val="paragraph"/>
    <w:basedOn w:val="Normal1"/>
    <w:qFormat/>
    <w:pPr>
      <w:keepNext w:val="false"/>
      <w:keepLines w:val="false"/>
      <w:pageBreakBefore w:val="false"/>
      <w:widowControl/>
      <w:shd w:val="clear" w:color="auto" w:fill="FFFFFF"/>
      <w:suppressAutoHyphens w:val="false"/>
      <w:overflowPunct w:val="true"/>
      <w:bidi w:val="0"/>
      <w:spacing w:lineRule="auto" w:line="276" w:before="280" w:after="28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4"/>
      <w:sz w:val="24"/>
      <w:szCs w:val="22"/>
      <w:u w:val="none"/>
      <w:effect w:val="none"/>
      <w:vertAlign w:val="baseline"/>
      <w:em w:val="none"/>
      <w:lang w:val="pt-BR" w:eastAsia="zh-CN" w:bidi="ar-SA"/>
    </w:rPr>
  </w:style>
  <w:style w:type="paragraph" w:styleId="SombreamentoMdio1-nfase31">
    <w:name w:val="Sombreamento Médio 1 - Ênfase 31"/>
    <w:basedOn w:val="Normal1"/>
    <w:next w:val="Normal1"/>
    <w:qFormat/>
    <w:pPr>
      <w:keepNext w:val="false"/>
      <w:keepLines w:val="false"/>
      <w:pageBreakBefore w:val="false"/>
      <w:widowControl/>
      <w:pBdr>
        <w:top w:val="single" w:sz="4" w:space="1" w:color="000080"/>
        <w:left w:val="single" w:sz="4" w:space="4" w:color="000080"/>
        <w:bottom w:val="single" w:sz="4" w:space="1" w:color="000080"/>
        <w:right w:val="single" w:sz="4" w:space="4" w:color="000080"/>
      </w:pBdr>
      <w:shd w:val="clear" w:color="auto" w:fill="FFFFCC"/>
      <w:suppressAutoHyphens w:val="false"/>
      <w:overflowPunct w:val="true"/>
      <w:bidi w:val="0"/>
      <w:spacing w:lineRule="auto" w:line="276" w:before="120" w:after="0"/>
      <w:jc w:val="both"/>
      <w:textAlignment w:val="baseline"/>
      <w:outlineLvl w:val="0"/>
    </w:pPr>
    <w:rPr>
      <w:rFonts w:ascii="Ecofont_Spranq_eco_Sans" w:hAnsi="Ecofont_Spranq_eco_Sans" w:eastAsia="Ecofont_Spranq_eco_Sans" w:cs="Ecofont_Spranq_eco_Sans"/>
      <w:b w:val="false"/>
      <w:bCs w:val="false"/>
      <w:i/>
      <w:iCs/>
      <w:caps w:val="false"/>
      <w:smallCaps w:val="false"/>
      <w:strike w:val="false"/>
      <w:dstrike w:val="false"/>
      <w:outline w:val="false"/>
      <w:color w:val="000000"/>
      <w:spacing w:val="0"/>
      <w:w w:val="100"/>
      <w:kern w:val="2"/>
      <w:position w:val="0"/>
      <w:sz w:val="22"/>
      <w:sz w:val="22"/>
      <w:szCs w:val="22"/>
      <w:u w:val="none"/>
      <w:effect w:val="none"/>
      <w:vertAlign w:val="baseline"/>
      <w:em w:val="none"/>
      <w:lang w:val="pt-BR" w:eastAsia="zh-CN" w:bidi="ar-SA"/>
    </w:rPr>
  </w:style>
  <w:style w:type="paragraph" w:styleId="Nivel1">
    <w:name w:val="Nivel1"/>
    <w:basedOn w:val="Heading1"/>
    <w:qFormat/>
    <w:pPr>
      <w:keepNext w:val="false"/>
      <w:keepLines w:val="false"/>
      <w:pageBreakBefore w:val="false"/>
      <w:widowControl w:val="false"/>
      <w:numPr>
        <w:ilvl w:val="0"/>
        <w:numId w:val="0"/>
      </w:numPr>
      <w:shd w:val="clear" w:color="auto" w:fill="FFFFFF"/>
      <w:suppressAutoHyphens w:val="false"/>
      <w:overflowPunct w:val="true"/>
      <w:bidi w:val="0"/>
      <w:spacing w:lineRule="auto" w:line="240" w:before="480" w:after="0"/>
      <w:ind w:hanging="0" w:left="0" w:right="0"/>
      <w:jc w:val="both"/>
      <w:textAlignment w:val="baseline"/>
      <w:outlineLvl w:val="9"/>
    </w:pPr>
    <w:rPr>
      <w:rFonts w:ascii="Arial" w:hAnsi="Arial" w:eastAsia="Arial" w:cs="Times New Roman"/>
      <w:b/>
      <w:bCs/>
      <w:i w:val="false"/>
      <w:iCs w:val="false"/>
      <w:caps w:val="false"/>
      <w:smallCaps w:val="false"/>
      <w:strike w:val="false"/>
      <w:dstrike w:val="false"/>
      <w:outline w:val="false"/>
      <w:color w:val="000000"/>
      <w:spacing w:val="0"/>
      <w:w w:val="100"/>
      <w:kern w:val="2"/>
      <w:position w:val="0"/>
      <w:sz w:val="20"/>
      <w:sz w:val="20"/>
      <w:szCs w:val="20"/>
      <w:u w:val="none"/>
      <w:effect w:val="none"/>
      <w:vertAlign w:val="baseline"/>
      <w:em w:val="none"/>
      <w:lang w:val="en-US" w:eastAsia="zh-CN" w:bidi="hi-IN"/>
    </w:rPr>
  </w:style>
  <w:style w:type="paragraph" w:styleId="Standard">
    <w:name w:val="Standard"/>
    <w:qFormat/>
    <w:pPr>
      <w:keepNext w:val="false"/>
      <w:keepLines w:val="false"/>
      <w:pageBreakBefore w:val="false"/>
      <w:widowControl/>
      <w:shd w:val="clear" w:color="auto" w:fill="auto"/>
      <w:suppressAutoHyphens w:val="false"/>
      <w:overflowPunct w:val="true"/>
      <w:bidi w:val="0"/>
      <w:spacing w:lineRule="auto" w:line="240" w:before="0" w:after="200"/>
      <w:jc w:val="left"/>
      <w:textAlignment w:val="baseline"/>
      <w:outlineLvl w:val="0"/>
    </w:pPr>
    <w:rPr>
      <w:rFonts w:ascii="Arial" w:hAnsi="Arial" w:eastAsia="Times New Roman" w:cs="Arial"/>
      <w:b w:val="false"/>
      <w:bCs w:val="false"/>
      <w:i w:val="false"/>
      <w:iCs w:val="false"/>
      <w:caps w:val="false"/>
      <w:smallCaps w:val="false"/>
      <w:strike w:val="false"/>
      <w:dstrike w:val="false"/>
      <w:outline w:val="false"/>
      <w:color w:val="00000A"/>
      <w:spacing w:val="0"/>
      <w:w w:val="100"/>
      <w:kern w:val="2"/>
      <w:position w:val="0"/>
      <w:sz w:val="20"/>
      <w:sz w:val="20"/>
      <w:szCs w:val="20"/>
      <w:u w:val="none"/>
      <w:effect w:val="none"/>
      <w:vertAlign w:val="baseline"/>
      <w:em w:val="none"/>
      <w:lang w:val="pt-BR" w:eastAsia="zh-CN" w:bidi="hi-IN"/>
    </w:rPr>
  </w:style>
  <w:style w:type="paragraph" w:styleId="Textosimples">
    <w:name w:val="Texto simples"/>
    <w:basedOn w:val="Normal1"/>
    <w:next w:val="Normal1"/>
    <w:qFormat/>
    <w:pPr>
      <w:keepNext w:val="false"/>
      <w:keepLines w:val="false"/>
      <w:pageBreakBefore w:val="false"/>
      <w:widowControl/>
      <w:shd w:val="clear" w:color="auto" w:fill="FFFFFF"/>
      <w:suppressAutoHyphens w:val="false"/>
      <w:overflowPunct w:val="true"/>
      <w:bidi w:val="0"/>
      <w:spacing w:lineRule="auto" w:line="276" w:before="0" w:after="200"/>
      <w:jc w:val="left"/>
      <w:textAlignment w:val="auto"/>
      <w:outlineLvl w:val="0"/>
    </w:pPr>
    <w:rPr>
      <w:rFonts w:ascii="Arial" w:hAnsi="Arial" w:eastAsia="Times New Roman" w:cs="Arial"/>
      <w:b w:val="false"/>
      <w:bCs w:val="false"/>
      <w:i w:val="false"/>
      <w:iCs w:val="false"/>
      <w:caps w:val="false"/>
      <w:smallCaps w:val="false"/>
      <w:strike w:val="false"/>
      <w:dstrike w:val="false"/>
      <w:outline w:val="false"/>
      <w:spacing w:val="0"/>
      <w:w w:val="100"/>
      <w:kern w:val="0"/>
      <w:position w:val="0"/>
      <w:sz w:val="22"/>
      <w:sz w:val="22"/>
      <w:szCs w:val="22"/>
      <w:u w:val="none"/>
      <w:effect w:val="none"/>
      <w:vertAlign w:val="baseline"/>
      <w:em w:val="none"/>
      <w:lang w:val="pt-BR" w:eastAsia="zh-CN" w:bidi="ar-SA"/>
    </w:rPr>
  </w:style>
  <w:style w:type="paragraph" w:styleId="TextosemFormatao">
    <w:name w:val="Texto sem Formatação"/>
    <w:basedOn w:val="Normal1"/>
    <w:next w:val="Normal1"/>
    <w:qFormat/>
    <w:pPr>
      <w:keepNext w:val="false"/>
      <w:keepLines w:val="false"/>
      <w:pageBreakBefore w:val="false"/>
      <w:widowControl/>
      <w:shd w:val="clear" w:color="auto" w:fill="FFFFFF"/>
      <w:suppressAutoHyphens w:val="tru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4"/>
      <w:sz w:val="24"/>
      <w:szCs w:val="22"/>
      <w:u w:val="none"/>
      <w:effect w:val="none"/>
      <w:vertAlign w:val="baseline"/>
      <w:em w:val="none"/>
      <w:lang w:val="pt-BR" w:eastAsia="zh-CN" w:bidi="ar-SA"/>
    </w:rPr>
  </w:style>
  <w:style w:type="paragraph" w:styleId="Normal11">
    <w:name w:val="Normal11"/>
    <w:qFormat/>
    <w:pPr>
      <w:keepNext w:val="false"/>
      <w:keepLines w:val="false"/>
      <w:pageBreakBefore w:val="false"/>
      <w:widowControl/>
      <w:shd w:val="clear" w:color="auto" w:fill="auto"/>
      <w:suppressAutoHyphens w:val="false"/>
      <w:overflowPunct w:val="true"/>
      <w:bidi w:val="0"/>
      <w:spacing w:lineRule="auto" w:line="240" w:before="0" w:after="200"/>
      <w:jc w:val="left"/>
      <w:textAlignment w:val="baseline"/>
      <w:outlineLvl w:val="0"/>
    </w:pPr>
    <w:rPr>
      <w:rFonts w:ascii="Arial" w:hAnsi="Arial" w:eastAsia="Times New Roman" w:cs="Arial"/>
      <w:b w:val="false"/>
      <w:bCs w:val="false"/>
      <w:i w:val="false"/>
      <w:iCs w:val="false"/>
      <w:caps w:val="false"/>
      <w:smallCaps w:val="false"/>
      <w:strike w:val="false"/>
      <w:dstrike w:val="false"/>
      <w:outline w:val="false"/>
      <w:color w:val="00000A"/>
      <w:spacing w:val="0"/>
      <w:w w:val="100"/>
      <w:kern w:val="2"/>
      <w:position w:val="0"/>
      <w:sz w:val="20"/>
      <w:sz w:val="20"/>
      <w:szCs w:val="20"/>
      <w:u w:val="none"/>
      <w:effect w:val="none"/>
      <w:vertAlign w:val="baseline"/>
      <w:em w:val="none"/>
      <w:lang w:val="pt-BR" w:eastAsia="zh-CN" w:bidi="ar-SA"/>
    </w:rPr>
  </w:style>
  <w:style w:type="paragraph" w:styleId="BodyText21">
    <w:name w:val="Body Text 21"/>
    <w:basedOn w:val="Normal1"/>
    <w:qFormat/>
    <w:pPr>
      <w:keepNext w:val="false"/>
      <w:keepLines w:val="false"/>
      <w:pageBreakBefore w:val="false"/>
      <w:widowControl/>
      <w:shd w:val="clear" w:color="auto" w:fill="FFFFFF"/>
      <w:suppressAutoHyphens w:val="false"/>
      <w:overflowPunct w:val="true"/>
      <w:bidi w:val="0"/>
      <w:spacing w:lineRule="auto" w:line="276" w:before="0" w:after="200"/>
      <w:jc w:val="both"/>
      <w:textAlignment w:val="baseline"/>
      <w:outlineLvl w:val="0"/>
    </w:pPr>
    <w:rPr>
      <w:rFonts w:ascii="Calibri" w:hAnsi="Calibri" w:eastAsia="Arial" w:cs="Arial"/>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extodecomentrio1">
    <w:name w:val="Texto de comentário1"/>
    <w:basedOn w:val="Normal1"/>
    <w:qFormat/>
    <w:pPr>
      <w:keepNext w:val="false"/>
      <w:keepLines w:val="false"/>
      <w:pageBreakBefore w:val="false"/>
      <w:widowControl/>
      <w:shd w:val="clear" w:color="auto" w:fill="FFFFFF"/>
      <w:suppressAutoHyphens w:val="false"/>
      <w:overflowPunct w:val="true"/>
      <w:bidi w:val="0"/>
      <w:spacing w:lineRule="auto" w:line="276" w:before="0" w:after="20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ableParagraph">
    <w:name w:val="Table Paragraph"/>
    <w:basedOn w:val="Normal1"/>
    <w:qFormat/>
    <w:pPr>
      <w:keepNext w:val="false"/>
      <w:keepLines w:val="false"/>
      <w:pageBreakBefore w:val="false"/>
      <w:widowControl w:val="false"/>
      <w:shd w:val="clear" w:color="auto" w:fill="FFFFFF"/>
      <w:suppressAutoHyphens w:val="true"/>
      <w:overflowPunct w:val="true"/>
      <w:bidi w:val="0"/>
      <w:spacing w:lineRule="auto" w:line="276" w:before="0" w:after="200"/>
      <w:jc w:val="left"/>
      <w:textAlignment w:val="baseline"/>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2"/>
      <w:position w:val="0"/>
      <w:sz w:val="24"/>
      <w:sz w:val="24"/>
      <w:szCs w:val="22"/>
      <w:u w:val="none"/>
      <w:effect w:val="none"/>
      <w:vertAlign w:val="baseline"/>
      <w:em w:val="none"/>
      <w:lang w:val="pt-BR" w:eastAsia="zh-CN" w:bidi="ar-SA"/>
    </w:rPr>
  </w:style>
  <w:style w:type="paragraph" w:styleId="NormalWeb">
    <w:name w:val="Normal (Web)"/>
    <w:basedOn w:val="Normal1"/>
    <w:qFormat/>
    <w:pPr>
      <w:keepNext w:val="false"/>
      <w:keepLines w:val="false"/>
      <w:pageBreakBefore w:val="false"/>
      <w:widowControl/>
      <w:shd w:val="clear" w:color="auto" w:fill="FFFFFF"/>
      <w:suppressAutoHyphens w:val="true"/>
      <w:overflowPunct w:val="true"/>
      <w:bidi w:val="0"/>
      <w:spacing w:lineRule="auto" w:line="276" w:before="280" w:after="280"/>
      <w:jc w:val="left"/>
      <w:textAlignment w:val="auto"/>
      <w:outlineLvl w:val="0"/>
    </w:pPr>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2"/>
      <w:sz w:val="22"/>
      <w:szCs w:val="22"/>
      <w:u w:val="none"/>
      <w:effect w:val="none"/>
      <w:vertAlign w:val="baseline"/>
      <w:em w:val="none"/>
      <w:lang w:val="pt-BR" w:eastAsia="pt-BR" w:bidi="ar-SA"/>
    </w:rPr>
  </w:style>
  <w:style w:type="paragraph" w:styleId="PargrafodaLista1">
    <w:name w:val="Parágrafo da Lista1"/>
    <w:basedOn w:val="Normal1"/>
    <w:qFormat/>
    <w:pPr>
      <w:keepNext w:val="false"/>
      <w:keepLines w:val="false"/>
      <w:pageBreakBefore w:val="false"/>
      <w:widowControl/>
      <w:shd w:val="clear" w:color="auto" w:fill="FFFFFF"/>
      <w:suppressAutoHyphens w:val="false"/>
      <w:overflowPunct w:val="true"/>
      <w:bidi w:val="0"/>
      <w:spacing w:lineRule="auto" w:line="276" w:before="0" w:after="200"/>
      <w:ind w:hanging="0" w:left="720" w:right="0"/>
      <w:jc w:val="left"/>
      <w:textAlignment w:val="baseline"/>
      <w:outlineLvl w:val="0"/>
    </w:pPr>
    <w:rPr>
      <w:rFonts w:ascii="Calibri" w:hAnsi="Calibri" w:eastAsia="Calibri" w:cs="Times New Roman"/>
      <w:b w:val="false"/>
      <w:bCs w:val="false"/>
      <w:i w:val="false"/>
      <w:iCs w:val="false"/>
      <w:caps w:val="false"/>
      <w:smallCaps w:val="false"/>
      <w:strike w:val="false"/>
      <w:dstrike w:val="false"/>
      <w:outline w:val="false"/>
      <w:spacing w:val="0"/>
      <w:w w:val="100"/>
      <w:kern w:val="2"/>
      <w:position w:val="0"/>
      <w:sz w:val="22"/>
      <w:sz w:val="22"/>
      <w:szCs w:val="22"/>
      <w:u w:val="none"/>
      <w:effect w:val="none"/>
      <w:vertAlign w:val="baseline"/>
      <w:em w:val="none"/>
      <w:lang w:val="pt-BR" w:eastAsia="zh-CN" w:bidi="ar-SA"/>
    </w:rPr>
  </w:style>
  <w:style w:type="paragraph" w:styleId="Textodecomentrio">
    <w:name w:val="Texto de comentário"/>
    <w:basedOn w:val="NormalWeb"/>
    <w:qFormat/>
    <w:pPr>
      <w:keepNext w:val="false"/>
      <w:keepLines w:val="false"/>
      <w:pageBreakBefore w:val="false"/>
      <w:widowControl/>
      <w:shd w:val="clear" w:color="auto" w:fill="FFFFFF"/>
      <w:suppressAutoHyphens w:val="false"/>
      <w:overflowPunct w:val="true"/>
      <w:bidi w:val="0"/>
      <w:spacing w:lineRule="auto" w:line="276" w:before="280" w:after="280"/>
      <w:jc w:val="left"/>
      <w:textAlignment w:val="auto"/>
    </w:pPr>
    <w:rPr>
      <w:rFonts w:ascii="Times New Roman" w:hAnsi="Times New Roman" w:eastAsia="Times New Roman" w:cs="Mangal"/>
      <w:b w:val="false"/>
      <w:bCs w:val="false"/>
      <w:i w:val="false"/>
      <w:iCs w:val="false"/>
      <w:caps w:val="false"/>
      <w:smallCaps w:val="false"/>
      <w:strike w:val="false"/>
      <w:dstrike w:val="false"/>
      <w:outline w:val="false"/>
      <w:spacing w:val="0"/>
      <w:w w:val="100"/>
      <w:kern w:val="0"/>
      <w:position w:val="0"/>
      <w:sz w:val="20"/>
      <w:sz w:val="20"/>
      <w:szCs w:val="18"/>
      <w:u w:val="none"/>
      <w:effect w:val="none"/>
      <w:vertAlign w:val="baseline"/>
      <w:em w:val="none"/>
      <w:lang w:val="pt-BR" w:eastAsia="pt-BR" w:bidi="ar-SA"/>
    </w:rPr>
  </w:style>
  <w:style w:type="paragraph" w:styleId="Assuntodocomentrio">
    <w:name w:val="Assunto do comentário"/>
    <w:qFormat/>
    <w:pPr>
      <w:widowControl w:val="false"/>
      <w:suppressAutoHyphens w:val="false"/>
      <w:bidi w:val="0"/>
      <w:spacing w:lineRule="atLeast" w:line="1" w:before="0" w:after="200"/>
      <w:jc w:val="left"/>
      <w:textAlignment w:val="top"/>
      <w:outlineLvl w:val="0"/>
    </w:pPr>
    <w:rPr>
      <w:rFonts w:ascii="Liberation Serif" w:hAnsi="Liberation Serif" w:eastAsia="NSimSun" w:cs="Arial"/>
      <w:b/>
      <w:bCs/>
      <w:color w:val="auto"/>
      <w:w w:val="100"/>
      <w:kern w:val="0"/>
      <w:position w:val="-1"/>
      <w:sz w:val="24"/>
      <w:szCs w:val="24"/>
      <w:effect w:val="none"/>
      <w:em w:val="none"/>
      <w:lang w:val="pt-BR"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coes-e.com.br/" TargetMode="External"/><Relationship Id="rId3" Type="http://schemas.openxmlformats.org/officeDocument/2006/relationships/hyperlink" Target="http://www.comprasparana.pr.gov.br/" TargetMode="External"/><Relationship Id="rId4" Type="http://schemas.openxmlformats.org/officeDocument/2006/relationships/hyperlink" Target="http://www.licitacoes-e.com.br/" TargetMode="External"/><Relationship Id="rId5" Type="http://schemas.openxmlformats.org/officeDocument/2006/relationships/hyperlink" Target="http://www.licitacoes-e.com.br/" TargetMode="External"/><Relationship Id="rId6" Type="http://schemas.openxmlformats.org/officeDocument/2006/relationships/hyperlink" Target="https://www.e-protocolo.pr.gov.b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s://www.e-protocolo.pr.gov.br/"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rvbIMn9i0AQfj62GLNEqzTTm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zIJaWQuZ2pkZ3hzMgppZC4zMGowemxsMgppZC4xZm9iOXRlMgppZC4zem55c2g3MgloLjJldDkycDAyCGgudHlqY3d0MgloLjNkeTZ2a20yCmlkLjF0M2g1c2YyCmlkLjRkMzRvZzgyCmlkLjJzOGV5bzEyCmlkLjE3ZHA4dnUyCmlkLjNyZGNyam4yCmlkLjI2aW4xcmcyCWlkLmxueGJ6OTIKaWQuMzVua3VuMjIJaC4xa3N2NHV2MgppZC40NHNpbmlvMgppZC4yanhzeHFoMglpZC56MzM3eWEyCmlkLjNqMnFxbTMyCmlkLjF5ODEwdHcyCmlkLjRpN29qaHAyCmlkLjJ4Y3l0cGkyCmlkLjFjaTkzeGIyCmlkLjN3aHdtbDQ4AHIhMUhIRVRFVGIzalNjczFpQ19NUDFYRjNqd1ltZy1va2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512</TotalTime>
  <Application>LibreOffice/24.2.3.2$Windows_X86_64 LibreOffice_project/433d9c2ded56988e8a90e6b2e771ee4e6a5ab2ba</Application>
  <AppVersion>15.0000</AppVersion>
  <Pages>108</Pages>
  <Words>32806</Words>
  <Characters>187313</Characters>
  <CharactersWithSpaces>218303</CharactersWithSpaces>
  <Paragraphs>2063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2022-09-21T21:34:00Z</dcterms:created>
  <dc:creator>Rafael Costa Santos</dc:creator>
  <dc:description/>
  <dc:language>pt-BR</dc:language>
  <cp:lastModifiedBy/>
  <cp:lastPrinted>2025-02-20T15:16:59Z</cp:lastPrinted>
  <dcterms:modified xsi:type="dcterms:W3CDTF">2025-02-20T15:34:30Z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