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tabs>
          <w:tab w:val="clear" w:pos="720"/>
          <w:tab w:val="left" w:pos="284" w:leader="none"/>
        </w:tabs>
        <w:jc w:val="center"/>
        <w:rPr>
          <w:rFonts w:ascii="Arial" w:hAnsi="Arial" w:eastAsia="Arial" w:cs="Arial"/>
          <w:b/>
          <w:sz w:val="28"/>
          <w:szCs w:val="28"/>
        </w:rPr>
      </w:pPr>
      <w:r>
        <w:rPr/>
      </w:r>
    </w:p>
    <w:p>
      <w:pPr>
        <w:pStyle w:val="Normal1"/>
        <w:shd w:val="clear" w:fill="FFFFFF"/>
        <w:tabs>
          <w:tab w:val="clear" w:pos="720"/>
          <w:tab w:val="left" w:pos="284" w:leader="none"/>
        </w:tabs>
        <w:jc w:val="center"/>
        <w:rPr>
          <w:rFonts w:ascii="Arial" w:hAnsi="Arial" w:eastAsia="Arial" w:cs="Arial"/>
          <w:position w:val="0"/>
          <w:sz w:val="24"/>
          <w:sz w:val="24"/>
          <w:vertAlign w:val="baseline"/>
        </w:rPr>
      </w:pPr>
      <w:r>
        <w:rPr>
          <w:rFonts w:eastAsia="Arial" w:cs="Arial" w:ascii="Arial" w:hAnsi="Arial"/>
          <w:b/>
          <w:position w:val="0"/>
          <w:sz w:val="28"/>
          <w:sz w:val="28"/>
          <w:szCs w:val="28"/>
          <w:vertAlign w:val="baseline"/>
        </w:rPr>
        <w:t>EDITAL</w:t>
      </w:r>
    </w:p>
    <w:p>
      <w:pPr>
        <w:pStyle w:val="Normal1"/>
        <w:shd w:val="clear" w:fill="FFFFFF"/>
        <w:tabs>
          <w:tab w:val="clear" w:pos="720"/>
          <w:tab w:val="left" w:pos="284" w:leader="none"/>
        </w:tabs>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FF"/>
        <w:tabs>
          <w:tab w:val="clear" w:pos="720"/>
          <w:tab w:val="left" w:pos="284" w:leader="none"/>
        </w:tabs>
        <w:jc w:val="both"/>
        <w:rPr>
          <w:rFonts w:ascii="Arial" w:hAnsi="Arial" w:eastAsia="Arial" w:cs="Arial"/>
          <w:position w:val="0"/>
          <w:sz w:val="24"/>
          <w:sz w:val="24"/>
          <w:vertAlign w:val="baseline"/>
        </w:rPr>
      </w:pPr>
      <w:r>
        <w:rPr>
          <w:rFonts w:eastAsia="Arial" w:cs="Arial" w:ascii="Arial" w:hAnsi="Arial"/>
          <w:position w:val="0"/>
          <w:sz w:val="24"/>
          <w:sz w:val="24"/>
          <w:vertAlign w:val="baseline"/>
        </w:rPr>
        <w:t xml:space="preserve">                                                                                     </w:t>
      </w:r>
    </w:p>
    <w:p>
      <w:pPr>
        <w:pStyle w:val="Normal1"/>
        <w:shd w:val="clear" w:fill="FFFFFF"/>
        <w:tabs>
          <w:tab w:val="clear" w:pos="720"/>
          <w:tab w:val="left" w:pos="284" w:leader="none"/>
        </w:tabs>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FF"/>
        <w:tabs>
          <w:tab w:val="clear" w:pos="720"/>
          <w:tab w:val="left" w:pos="284" w:leader="none"/>
        </w:tabs>
        <w:jc w:val="both"/>
        <w:rPr>
          <w:rFonts w:ascii="Arial" w:hAnsi="Arial" w:eastAsia="Arial" w:cs="Arial"/>
          <w:position w:val="0"/>
          <w:sz w:val="24"/>
          <w:sz w:val="24"/>
          <w:highlight w:val="white"/>
          <w:vertAlign w:val="baseline"/>
        </w:rPr>
      </w:pPr>
      <w:r>
        <w:rPr>
          <w:rFonts w:eastAsia="Arial" w:cs="Arial" w:ascii="Arial" w:hAnsi="Arial"/>
          <w:position w:val="0"/>
          <w:sz w:val="20"/>
          <w:sz w:val="20"/>
          <w:szCs w:val="20"/>
          <w:vertAlign w:val="baseline"/>
        </w:rPr>
        <w:t>O ESTADO do PARANÁ, por intermédio do [</w:t>
      </w:r>
      <w:r>
        <w:rPr>
          <w:rFonts w:eastAsia="Arial" w:cs="Arial" w:ascii="Arial" w:hAnsi="Arial"/>
          <w:b/>
          <w:position w:val="0"/>
          <w:sz w:val="20"/>
          <w:sz w:val="20"/>
          <w:szCs w:val="20"/>
          <w:highlight w:val="yellow"/>
          <w:vertAlign w:val="baseline"/>
        </w:rPr>
        <w:t>XXXXXXXX]</w:t>
      </w:r>
      <w:r>
        <w:rPr>
          <w:rFonts w:eastAsia="Arial" w:cs="Arial" w:ascii="Arial" w:hAnsi="Arial"/>
          <w:b/>
          <w:position w:val="0"/>
          <w:sz w:val="20"/>
          <w:sz w:val="20"/>
          <w:szCs w:val="20"/>
          <w:vertAlign w:val="baseline"/>
        </w:rPr>
        <w:t xml:space="preserve"> (SETOR)</w:t>
      </w:r>
      <w:r>
        <w:rPr>
          <w:rFonts w:eastAsia="Arial" w:cs="Arial" w:ascii="Arial" w:hAnsi="Arial"/>
          <w:b/>
          <w:color w:val="000000"/>
          <w:position w:val="0"/>
          <w:sz w:val="20"/>
          <w:sz w:val="20"/>
          <w:szCs w:val="20"/>
          <w:vertAlign w:val="baseline"/>
        </w:rPr>
        <w:t xml:space="preserve"> da [</w:t>
      </w:r>
      <w:r>
        <w:rPr>
          <w:rFonts w:eastAsia="Arial" w:cs="Arial" w:ascii="Arial" w:hAnsi="Arial"/>
          <w:b/>
          <w:color w:val="000000"/>
          <w:position w:val="0"/>
          <w:sz w:val="20"/>
          <w:sz w:val="20"/>
          <w:szCs w:val="20"/>
          <w:highlight w:val="yellow"/>
          <w:vertAlign w:val="baseline"/>
        </w:rPr>
        <w:t>XXXXXXXXX]</w:t>
      </w:r>
      <w:r>
        <w:rPr>
          <w:rFonts w:eastAsia="Arial" w:cs="Arial" w:ascii="Arial" w:hAnsi="Arial"/>
          <w:b/>
          <w:color w:val="000000"/>
          <w:position w:val="0"/>
          <w:sz w:val="20"/>
          <w:sz w:val="20"/>
          <w:szCs w:val="20"/>
          <w:vertAlign w:val="baseline"/>
        </w:rPr>
        <w:t xml:space="preserve"> (ÓRGÃO/ENTIDADE ESTADUAL),</w:t>
      </w:r>
      <w:r>
        <w:rPr>
          <w:rFonts w:eastAsia="Arial" w:cs="Arial" w:ascii="Arial" w:hAnsi="Arial"/>
          <w:position w:val="0"/>
          <w:sz w:val="20"/>
          <w:sz w:val="20"/>
          <w:szCs w:val="20"/>
          <w:vertAlign w:val="baseline"/>
        </w:rPr>
        <w:t xml:space="preserve"> torna público que realizará licitação nos seguintes termos:</w:t>
      </w:r>
    </w:p>
    <w:p>
      <w:pPr>
        <w:pStyle w:val="Normal1"/>
        <w:shd w:val="clear" w:fill="FFFFFF"/>
        <w:tabs>
          <w:tab w:val="clear" w:pos="720"/>
          <w:tab w:val="left" w:pos="284" w:leader="none"/>
        </w:tabs>
        <w:jc w:val="both"/>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1"/>
        <w:tblW w:w="9136" w:type="dxa"/>
        <w:jc w:val="left"/>
        <w:tblInd w:w="-55" w:type="dxa"/>
        <w:tblLayout w:type="fixed"/>
        <w:tblCellMar>
          <w:top w:w="0" w:type="dxa"/>
          <w:left w:w="108" w:type="dxa"/>
          <w:bottom w:w="0" w:type="dxa"/>
          <w:right w:w="108" w:type="dxa"/>
        </w:tblCellMar>
        <w:tblLook w:val="0000"/>
      </w:tblPr>
      <w:tblGrid>
        <w:gridCol w:w="3510"/>
        <w:gridCol w:w="5625"/>
      </w:tblGrid>
      <w:tr>
        <w:trPr/>
        <w:tc>
          <w:tcPr>
            <w:tcW w:w="3510" w:type="dxa"/>
            <w:tcBorders>
              <w:top w:val="single" w:sz="8" w:space="0" w:color="000000"/>
              <w:left w:val="single" w:sz="8" w:space="0" w:color="000000"/>
              <w:bottom w:val="single" w:sz="8" w:space="0" w:color="000000"/>
            </w:tcBorders>
            <w:shd w:fill="auto" w:val="clear"/>
          </w:tcPr>
          <w:p>
            <w:pPr>
              <w:pStyle w:val="Normal1"/>
              <w:shd w:val="clear" w:fill="FFFFFF"/>
              <w:spacing w:lineRule="auto" w:line="240" w:before="57" w:after="57"/>
              <w:jc w:val="center"/>
              <w:rPr>
                <w:rFonts w:ascii="Arial" w:hAnsi="Arial" w:eastAsia="Arial" w:cs="Arial"/>
                <w:position w:val="0"/>
                <w:sz w:val="24"/>
                <w:sz w:val="24"/>
                <w:vertAlign w:val="baseline"/>
              </w:rPr>
            </w:pPr>
            <w:r>
              <w:rPr>
                <w:rFonts w:eastAsia="Arial" w:cs="Arial" w:ascii="Arial" w:hAnsi="Arial"/>
                <w:b/>
                <w:position w:val="0"/>
                <w:sz w:val="28"/>
                <w:sz w:val="28"/>
                <w:szCs w:val="28"/>
                <w:highlight w:val="white"/>
                <w:vertAlign w:val="baseline"/>
              </w:rPr>
              <w:t>PREGÃO ELETRÔNICO:</w:t>
            </w:r>
          </w:p>
          <w:p>
            <w:pPr>
              <w:pStyle w:val="Normal1"/>
              <w:shd w:val="clear" w:fill="FFFFFF"/>
              <w:spacing w:lineRule="auto" w:line="240" w:before="57" w:after="57"/>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FF"/>
              <w:spacing w:lineRule="auto" w:line="240" w:before="57" w:after="57"/>
              <w:jc w:val="center"/>
              <w:rPr>
                <w:rFonts w:ascii="Arial" w:hAnsi="Arial" w:eastAsia="Arial" w:cs="Arial"/>
                <w:position w:val="0"/>
                <w:sz w:val="24"/>
                <w:sz w:val="24"/>
                <w:highlight w:val="white"/>
                <w:vertAlign w:val="baseline"/>
              </w:rPr>
            </w:pPr>
            <w:r>
              <w:rPr>
                <w:rFonts w:eastAsia="Arial" w:cs="Arial" w:ascii="Arial" w:hAnsi="Arial"/>
                <w:b/>
                <w:color w:val="000000"/>
                <w:position w:val="0"/>
                <w:sz w:val="28"/>
                <w:sz w:val="28"/>
                <w:szCs w:val="28"/>
                <w:highlight w:val="yellow"/>
                <w:vertAlign w:val="baseline"/>
              </w:rPr>
              <w:t>XXXX</w:t>
            </w:r>
            <w:r>
              <w:rPr>
                <w:rFonts w:eastAsia="Arial" w:cs="Arial" w:ascii="Arial" w:hAnsi="Arial"/>
                <w:b/>
                <w:color w:val="000000"/>
                <w:position w:val="0"/>
                <w:sz w:val="28"/>
                <w:sz w:val="28"/>
                <w:szCs w:val="28"/>
                <w:highlight w:val="white"/>
                <w:vertAlign w:val="baseline"/>
              </w:rPr>
              <w:t>/20</w:t>
            </w:r>
            <w:r>
              <w:rPr>
                <w:rFonts w:eastAsia="Arial" w:cs="Arial" w:ascii="Arial" w:hAnsi="Arial"/>
                <w:b/>
                <w:color w:val="000000"/>
                <w:position w:val="0"/>
                <w:sz w:val="28"/>
                <w:sz w:val="28"/>
                <w:szCs w:val="28"/>
                <w:highlight w:val="yellow"/>
                <w:vertAlign w:val="baseline"/>
              </w:rPr>
              <w:t>XX</w:t>
            </w:r>
          </w:p>
          <w:p>
            <w:pPr>
              <w:pStyle w:val="Normal1"/>
              <w:shd w:val="clear" w:fill="FFFFFF"/>
              <w:spacing w:lineRule="auto" w:line="240" w:before="57" w:after="57"/>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spacing w:lineRule="auto" w:line="240" w:before="57" w:after="57"/>
              <w:jc w:val="center"/>
              <w:rPr>
                <w:rFonts w:ascii="Arial" w:hAnsi="Arial" w:eastAsia="Arial" w:cs="Arial"/>
                <w:position w:val="0"/>
                <w:sz w:val="24"/>
                <w:sz w:val="24"/>
                <w:vertAlign w:val="baseline"/>
              </w:rPr>
            </w:pPr>
            <w:r>
              <w:rPr>
                <w:rFonts w:eastAsia="Arial" w:cs="Arial" w:ascii="Arial" w:hAnsi="Arial"/>
                <w:b/>
                <w:color w:val="000000"/>
                <w:position w:val="0"/>
                <w:sz w:val="24"/>
                <w:sz w:val="24"/>
                <w:highlight w:val="white"/>
                <w:vertAlign w:val="baseline"/>
              </w:rPr>
              <w:t>TIPO:</w:t>
            </w:r>
            <w:r>
              <w:rPr>
                <w:rFonts w:eastAsia="Arial" w:cs="Arial" w:ascii="Arial" w:hAnsi="Arial"/>
                <w:b/>
                <w:color w:val="000000"/>
                <w:position w:val="0"/>
                <w:sz w:val="24"/>
                <w:sz w:val="24"/>
                <w:vertAlign w:val="baseline"/>
              </w:rPr>
              <w:t xml:space="preserve"> </w:t>
            </w:r>
            <w:r>
              <w:rPr>
                <w:rFonts w:eastAsia="Arial" w:cs="Arial" w:ascii="Arial" w:hAnsi="Arial"/>
                <w:position w:val="0"/>
                <w:sz w:val="24"/>
                <w:sz w:val="24"/>
                <w:vertAlign w:val="baseline"/>
              </w:rPr>
              <w:t xml:space="preserve">MENOR PREÇO </w:t>
            </w:r>
            <w:r>
              <w:rPr>
                <w:rFonts w:eastAsia="Arial" w:cs="Arial" w:ascii="Arial" w:hAnsi="Arial"/>
                <w:position w:val="0"/>
                <w:sz w:val="24"/>
                <w:sz w:val="24"/>
                <w:highlight w:val="yellow"/>
                <w:vertAlign w:val="baseline"/>
              </w:rPr>
              <w:t>(OU MAIOR DESCONTO)</w:t>
            </w:r>
          </w:p>
          <w:p>
            <w:pPr>
              <w:pStyle w:val="Normal1"/>
              <w:shd w:val="clear" w:fill="FFFFFF"/>
              <w:spacing w:lineRule="auto" w:line="240" w:before="57" w:after="0"/>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FF"/>
              <w:spacing w:lineRule="auto" w:line="240" w:before="57" w:after="0"/>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t>EXCLUSIVO PARA ME E EPP</w:t>
            </w:r>
          </w:p>
          <w:p>
            <w:pPr>
              <w:pStyle w:val="Normal1"/>
              <w:shd w:val="clear" w:fill="FFFFFF"/>
              <w:spacing w:lineRule="auto" w:line="240" w:before="57" w:after="0"/>
              <w:rPr>
                <w:rFonts w:ascii="Arial" w:hAnsi="Arial" w:eastAsia="Arial" w:cs="Arial"/>
                <w:position w:val="0"/>
                <w:sz w:val="24"/>
                <w:sz w:val="24"/>
                <w:vertAlign w:val="baseline"/>
              </w:rPr>
            </w:pPr>
            <w:r>
              <w:rPr>
                <w:rFonts w:eastAsia="Arial" w:cs="Arial" w:ascii="Arial" w:hAnsi="Arial"/>
                <w:position w:val="0"/>
                <w:sz w:val="24"/>
                <w:sz w:val="24"/>
                <w:vertAlign w:val="baseline"/>
              </w:rPr>
            </w:r>
          </w:p>
        </w:tc>
        <w:tc>
          <w:tcPr>
            <w:tcW w:w="562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113" w:after="113"/>
              <w:ind w:right="-1"/>
              <w:jc w:val="center"/>
              <w:rPr>
                <w:rFonts w:ascii="Arial" w:hAnsi="Arial" w:eastAsia="Arial" w:cs="Arial"/>
                <w:b/>
                <w:position w:val="0"/>
                <w:sz w:val="32"/>
                <w:sz w:val="32"/>
                <w:szCs w:val="32"/>
                <w:highlight w:val="white"/>
                <w:vertAlign w:val="baseline"/>
              </w:rPr>
            </w:pPr>
            <w:r>
              <w:rPr>
                <w:rFonts w:eastAsia="Arial" w:cs="Arial" w:ascii="Arial" w:hAnsi="Arial"/>
                <w:b/>
                <w:position w:val="0"/>
                <w:sz w:val="26"/>
                <w:sz w:val="26"/>
                <w:szCs w:val="26"/>
                <w:highlight w:val="white"/>
                <w:vertAlign w:val="baseline"/>
              </w:rPr>
              <w:t>Acolhimento/Abertura/Divulgação de Propostas:</w:t>
            </w:r>
          </w:p>
          <w:p>
            <w:pPr>
              <w:pStyle w:val="Normal1"/>
              <w:shd w:val="clear" w:fill="FFFFFF"/>
              <w:spacing w:lineRule="auto" w:line="240" w:before="113" w:after="113"/>
              <w:ind w:right="-1"/>
              <w:jc w:val="center"/>
              <w:rPr>
                <w:rFonts w:ascii="Arial" w:hAnsi="Arial" w:eastAsia="Arial" w:cs="Arial"/>
                <w:position w:val="0"/>
                <w:sz w:val="26"/>
                <w:sz w:val="26"/>
                <w:szCs w:val="26"/>
                <w:highlight w:val="white"/>
                <w:vertAlign w:val="baseline"/>
              </w:rPr>
            </w:pPr>
            <w:r>
              <w:rPr>
                <w:rFonts w:eastAsia="Arial" w:cs="Arial" w:ascii="Arial" w:hAnsi="Arial"/>
                <w:b/>
                <w:position w:val="0"/>
                <w:sz w:val="32"/>
                <w:sz w:val="32"/>
                <w:szCs w:val="32"/>
                <w:highlight w:val="white"/>
                <w:vertAlign w:val="baseline"/>
              </w:rPr>
              <w:t>Até __ h __ min do dia __/__/____</w:t>
            </w:r>
          </w:p>
          <w:p>
            <w:pPr>
              <w:pStyle w:val="Normal1"/>
              <w:shd w:val="clear" w:fill="FFFFFF"/>
              <w:spacing w:lineRule="auto" w:line="240" w:before="113" w:after="113"/>
              <w:ind w:right="-1"/>
              <w:jc w:val="center"/>
              <w:rPr>
                <w:rFonts w:ascii="Arial" w:hAnsi="Arial" w:eastAsia="Arial" w:cs="Arial"/>
                <w:b/>
                <w:position w:val="0"/>
                <w:sz w:val="32"/>
                <w:sz w:val="32"/>
                <w:szCs w:val="32"/>
                <w:highlight w:val="white"/>
                <w:vertAlign w:val="baseline"/>
              </w:rPr>
            </w:pPr>
            <w:r>
              <w:rPr>
                <w:rFonts w:eastAsia="Arial" w:cs="Arial" w:ascii="Arial" w:hAnsi="Arial"/>
                <w:position w:val="0"/>
                <w:sz w:val="26"/>
                <w:sz w:val="26"/>
                <w:szCs w:val="26"/>
                <w:highlight w:val="white"/>
                <w:vertAlign w:val="baseline"/>
              </w:rPr>
              <w:t>Início da sessão / disputa de lances:</w:t>
            </w:r>
          </w:p>
          <w:p>
            <w:pPr>
              <w:pStyle w:val="Normal1"/>
              <w:shd w:val="clear" w:fill="FFFFFF"/>
              <w:spacing w:lineRule="auto" w:line="240" w:before="113" w:after="113"/>
              <w:ind w:right="-1"/>
              <w:jc w:val="center"/>
              <w:rPr>
                <w:rFonts w:ascii="Arial" w:hAnsi="Arial" w:eastAsia="Arial" w:cs="Arial"/>
                <w:position w:val="0"/>
                <w:sz w:val="20"/>
                <w:sz w:val="20"/>
                <w:szCs w:val="20"/>
                <w:highlight w:val="white"/>
                <w:vertAlign w:val="baseline"/>
              </w:rPr>
            </w:pPr>
            <w:r>
              <w:rPr>
                <w:rFonts w:eastAsia="Arial" w:cs="Arial" w:ascii="Arial" w:hAnsi="Arial"/>
                <w:b/>
                <w:position w:val="0"/>
                <w:sz w:val="32"/>
                <w:sz w:val="32"/>
                <w:szCs w:val="32"/>
                <w:highlight w:val="white"/>
                <w:vertAlign w:val="baseline"/>
              </w:rPr>
              <w:t>__ h __ min do dia __/__/____</w:t>
            </w:r>
          </w:p>
          <w:p>
            <w:pPr>
              <w:pStyle w:val="Normal1"/>
              <w:shd w:val="clear" w:fill="FFFFFF"/>
              <w:spacing w:lineRule="auto" w:line="240" w:before="113" w:after="113"/>
              <w:ind w:right="-1"/>
              <w:jc w:val="both"/>
              <w:rPr>
                <w:position w:val="0"/>
                <w:sz w:val="24"/>
                <w:sz w:val="24"/>
                <w:vertAlign w:val="baseline"/>
              </w:rPr>
            </w:pPr>
            <w:r>
              <w:rPr>
                <w:rFonts w:eastAsia="Arial" w:cs="Arial" w:ascii="Arial" w:hAnsi="Arial"/>
                <w:position w:val="0"/>
                <w:sz w:val="20"/>
                <w:sz w:val="20"/>
                <w:szCs w:val="20"/>
                <w:highlight w:val="white"/>
                <w:vertAlign w:val="baseline"/>
              </w:rPr>
              <w:t>Será sempre considerado o horário de Brasília (DF) para todas as indicações de tempo constantes neste edital.</w:t>
            </w:r>
          </w:p>
        </w:tc>
      </w:tr>
    </w:tbl>
    <w:p>
      <w:pPr>
        <w:pStyle w:val="Normal1"/>
        <w:shd w:val="clear" w:fill="FFFFFF"/>
        <w:tabs>
          <w:tab w:val="clear" w:pos="720"/>
          <w:tab w:val="left" w:pos="284" w:leader="none"/>
        </w:tabs>
        <w:jc w:val="both"/>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2"/>
        <w:tblW w:w="9112" w:type="dxa"/>
        <w:jc w:val="left"/>
        <w:tblInd w:w="-55" w:type="dxa"/>
        <w:tblLayout w:type="fixed"/>
        <w:tblCellMar>
          <w:top w:w="0" w:type="dxa"/>
          <w:left w:w="108" w:type="dxa"/>
          <w:bottom w:w="0" w:type="dxa"/>
          <w:right w:w="108" w:type="dxa"/>
        </w:tblCellMar>
        <w:tblLook w:val="0000"/>
      </w:tblPr>
      <w:tblGrid>
        <w:gridCol w:w="9112"/>
      </w:tblGrid>
      <w:tr>
        <w:trPr/>
        <w:tc>
          <w:tcPr>
            <w:tcW w:w="9112"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eastAsia="Arial" w:cs="Arial"/>
                <w:color w:val="000000"/>
                <w:position w:val="0"/>
                <w:sz w:val="20"/>
                <w:sz w:val="20"/>
                <w:szCs w:val="20"/>
                <w:highlight w:val="white"/>
                <w:vertAlign w:val="baseline"/>
              </w:rPr>
            </w:pPr>
            <w:r>
              <w:rPr>
                <w:rFonts w:eastAsia="Arial" w:cs="Arial" w:ascii="Arial" w:hAnsi="Arial"/>
                <w:b/>
                <w:position w:val="0"/>
                <w:sz w:val="20"/>
                <w:sz w:val="20"/>
                <w:szCs w:val="20"/>
                <w:highlight w:val="white"/>
                <w:vertAlign w:val="baseline"/>
              </w:rPr>
              <w:t>1 OBJETO:</w:t>
            </w:r>
          </w:p>
          <w:p>
            <w:pPr>
              <w:pStyle w:val="Normal1"/>
              <w:shd w:val="clear" w:fill="FFFFFF"/>
              <w:spacing w:lineRule="auto" w:line="240" w:before="57" w:after="0"/>
              <w:ind w:right="-1"/>
              <w:jc w:val="both"/>
              <w:rPr>
                <w:position w:val="0"/>
                <w:sz w:val="24"/>
                <w:sz w:val="24"/>
                <w:vertAlign w:val="baseline"/>
              </w:rPr>
            </w:pPr>
            <w:r>
              <w:rPr>
                <w:rFonts w:eastAsia="Arial" w:cs="Arial" w:ascii="Arial" w:hAnsi="Arial"/>
                <w:color w:val="000000"/>
                <w:position w:val="0"/>
                <w:sz w:val="20"/>
                <w:sz w:val="20"/>
                <w:szCs w:val="20"/>
                <w:highlight w:val="white"/>
                <w:vertAlign w:val="baseline"/>
              </w:rPr>
              <w:t xml:space="preserve">Contratação de empresa especializada para execução dos serviços comuns de engenharia de </w:t>
            </w:r>
            <w:r>
              <w:rPr>
                <w:rFonts w:eastAsia="Arial" w:cs="Arial" w:ascii="Arial" w:hAnsi="Arial"/>
                <w:b/>
                <w:color w:val="000000"/>
                <w:position w:val="0"/>
                <w:sz w:val="20"/>
                <w:sz w:val="20"/>
                <w:szCs w:val="20"/>
                <w:highlight w:val="yellow"/>
                <w:vertAlign w:val="baseline"/>
              </w:rPr>
              <w:t xml:space="preserve">xxxx </w:t>
            </w:r>
            <w:r>
              <w:rPr>
                <w:rFonts w:eastAsia="Arial" w:cs="Arial" w:ascii="Arial" w:hAnsi="Arial"/>
                <w:color w:val="000000"/>
                <w:position w:val="0"/>
                <w:sz w:val="20"/>
                <w:sz w:val="20"/>
                <w:szCs w:val="20"/>
                <w:highlight w:val="yellow"/>
                <w:vertAlign w:val="baseline"/>
              </w:rPr>
              <w:t xml:space="preserve">na </w:t>
            </w:r>
            <w:r>
              <w:rPr>
                <w:rFonts w:eastAsia="Arial" w:cs="Arial" w:ascii="Arial" w:hAnsi="Arial"/>
                <w:b/>
                <w:color w:val="000000"/>
                <w:position w:val="0"/>
                <w:sz w:val="20"/>
                <w:sz w:val="20"/>
                <w:szCs w:val="20"/>
                <w:highlight w:val="yellow"/>
                <w:vertAlign w:val="baseline"/>
              </w:rPr>
              <w:t>xxxxxxx</w:t>
            </w:r>
            <w:r>
              <w:rPr>
                <w:rFonts w:eastAsia="Arial" w:cs="Arial" w:ascii="Arial" w:hAnsi="Arial"/>
                <w:color w:val="000000"/>
                <w:position w:val="0"/>
                <w:sz w:val="20"/>
                <w:sz w:val="20"/>
                <w:szCs w:val="20"/>
                <w:highlight w:val="white"/>
                <w:vertAlign w:val="baseline"/>
              </w:rPr>
              <w:t xml:space="preserve">, no endereço </w:t>
            </w:r>
            <w:r>
              <w:rPr>
                <w:rFonts w:eastAsia="Arial" w:cs="Arial" w:ascii="Arial" w:hAnsi="Arial"/>
                <w:b/>
                <w:color w:val="000000"/>
                <w:position w:val="0"/>
                <w:sz w:val="20"/>
                <w:sz w:val="20"/>
                <w:szCs w:val="20"/>
                <w:highlight w:val="yellow"/>
                <w:vertAlign w:val="baseline"/>
              </w:rPr>
              <w:t>xxxxx</w:t>
            </w:r>
            <w:r>
              <w:rPr>
                <w:rFonts w:eastAsia="Arial" w:cs="Arial" w:ascii="Arial" w:hAnsi="Arial"/>
                <w:color w:val="000000"/>
                <w:position w:val="0"/>
                <w:sz w:val="20"/>
                <w:sz w:val="20"/>
                <w:szCs w:val="20"/>
                <w:highlight w:val="white"/>
                <w:vertAlign w:val="baseline"/>
              </w:rPr>
              <w:t xml:space="preserve">, no município de </w:t>
            </w:r>
            <w:r>
              <w:rPr>
                <w:rFonts w:eastAsia="Arial" w:cs="Arial" w:ascii="Arial" w:hAnsi="Arial"/>
                <w:b/>
                <w:color w:val="000000"/>
                <w:position w:val="0"/>
                <w:sz w:val="20"/>
                <w:sz w:val="20"/>
                <w:szCs w:val="20"/>
                <w:highlight w:val="yellow"/>
                <w:vertAlign w:val="baseline"/>
              </w:rPr>
              <w:t>xxxxxx</w:t>
            </w:r>
            <w:r>
              <w:rPr>
                <w:rFonts w:eastAsia="Arial" w:cs="Arial" w:ascii="Arial" w:hAnsi="Arial"/>
                <w:color w:val="000000"/>
                <w:position w:val="0"/>
                <w:sz w:val="20"/>
                <w:sz w:val="20"/>
                <w:szCs w:val="20"/>
                <w:highlight w:val="white"/>
                <w:vertAlign w:val="baseline"/>
              </w:rPr>
              <w:t>, Paraná, conforme planilha orçamentária de referência constante no Anexo XIII.</w:t>
            </w:r>
          </w:p>
        </w:tc>
      </w:tr>
    </w:tbl>
    <w:p>
      <w:pPr>
        <w:pStyle w:val="Normal1"/>
        <w:shd w:val="clear" w:fill="FFFFFF"/>
        <w:tabs>
          <w:tab w:val="clear" w:pos="720"/>
          <w:tab w:val="left" w:pos="284" w:leader="none"/>
        </w:tabs>
        <w:jc w:val="both"/>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3"/>
        <w:tblW w:w="9112" w:type="dxa"/>
        <w:jc w:val="left"/>
        <w:tblInd w:w="-55" w:type="dxa"/>
        <w:tblLayout w:type="fixed"/>
        <w:tblCellMar>
          <w:top w:w="0" w:type="dxa"/>
          <w:left w:w="108" w:type="dxa"/>
          <w:bottom w:w="0" w:type="dxa"/>
          <w:right w:w="108" w:type="dxa"/>
        </w:tblCellMar>
        <w:tblLook w:val="0000"/>
      </w:tblPr>
      <w:tblGrid>
        <w:gridCol w:w="9112"/>
      </w:tblGrid>
      <w:tr>
        <w:trPr/>
        <w:tc>
          <w:tcPr>
            <w:tcW w:w="9112"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eastAsia="Arial" w:cs="Arial"/>
                <w:b/>
                <w:color w:val="000000"/>
                <w:position w:val="0"/>
                <w:sz w:val="20"/>
                <w:sz w:val="20"/>
                <w:szCs w:val="20"/>
                <w:highlight w:val="white"/>
                <w:vertAlign w:val="baseline"/>
              </w:rPr>
            </w:pPr>
            <w:r>
              <w:rPr>
                <w:rFonts w:eastAsia="Arial" w:cs="Arial" w:ascii="Arial" w:hAnsi="Arial"/>
                <w:b/>
                <w:position w:val="0"/>
                <w:sz w:val="20"/>
                <w:sz w:val="20"/>
                <w:szCs w:val="20"/>
                <w:highlight w:val="white"/>
                <w:vertAlign w:val="baseline"/>
              </w:rPr>
              <w:t>2 VALOR MÁXIMO DA LICITAÇÃO:</w:t>
            </w:r>
          </w:p>
          <w:p>
            <w:pPr>
              <w:pStyle w:val="Normal1"/>
              <w:widowControl w:val="false"/>
              <w:tabs>
                <w:tab w:val="clear" w:pos="720"/>
                <w:tab w:val="left" w:pos="426"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2.1</w:t>
            </w:r>
            <w:r>
              <w:rPr>
                <w:rFonts w:eastAsia="Arial" w:cs="Arial" w:ascii="Arial" w:hAnsi="Arial"/>
                <w:color w:val="000000"/>
                <w:position w:val="0"/>
                <w:sz w:val="20"/>
                <w:sz w:val="20"/>
                <w:szCs w:val="20"/>
                <w:highlight w:val="white"/>
                <w:vertAlign w:val="baseline"/>
              </w:rPr>
              <w:t xml:space="preserve"> O preço máximo admitido para execução dos serviços é de </w:t>
            </w:r>
            <w:r>
              <w:rPr>
                <w:rFonts w:eastAsia="Arial" w:cs="Arial" w:ascii="Arial" w:hAnsi="Arial"/>
                <w:color w:val="000000"/>
                <w:position w:val="0"/>
                <w:sz w:val="20"/>
                <w:sz w:val="20"/>
                <w:szCs w:val="20"/>
                <w:shd w:fill="FFFF00" w:val="clear"/>
                <w:vertAlign w:val="baseline"/>
              </w:rPr>
              <w:t>R$ 0.000.000,00</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shd w:fill="FFFF00" w:val="clear"/>
                <w:vertAlign w:val="baseline"/>
              </w:rPr>
              <w:t>xxx</w:t>
            </w:r>
            <w:r>
              <w:rPr>
                <w:rFonts w:eastAsia="Arial" w:cs="Arial" w:ascii="Arial" w:hAnsi="Arial"/>
                <w:color w:val="000000"/>
                <w:position w:val="0"/>
                <w:sz w:val="20"/>
                <w:sz w:val="20"/>
                <w:szCs w:val="20"/>
                <w:highlight w:val="white"/>
                <w:vertAlign w:val="baseline"/>
              </w:rPr>
              <w:t xml:space="preserve"> reais), sendo </w:t>
            </w:r>
            <w:r>
              <w:rPr>
                <w:rFonts w:eastAsia="Arial" w:cs="Arial" w:ascii="Arial" w:hAnsi="Arial"/>
                <w:color w:val="000000"/>
                <w:position w:val="0"/>
                <w:sz w:val="20"/>
                <w:sz w:val="20"/>
                <w:szCs w:val="20"/>
                <w:shd w:fill="FFFF00" w:val="clear"/>
                <w:vertAlign w:val="baseline"/>
              </w:rPr>
              <w:t>00,00%</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shd w:fill="FFFF00" w:val="clear"/>
                <w:vertAlign w:val="baseline"/>
              </w:rPr>
              <w:t>xxxxxx</w:t>
            </w:r>
            <w:r>
              <w:rPr>
                <w:rFonts w:eastAsia="Arial" w:cs="Arial" w:ascii="Arial" w:hAnsi="Arial"/>
                <w:color w:val="000000"/>
                <w:position w:val="0"/>
                <w:sz w:val="20"/>
                <w:sz w:val="20"/>
                <w:szCs w:val="20"/>
                <w:highlight w:val="white"/>
                <w:vertAlign w:val="baseline"/>
              </w:rPr>
              <w:t xml:space="preserve"> por cento) referente aos materiais e </w:t>
            </w:r>
            <w:r>
              <w:rPr>
                <w:rFonts w:eastAsia="Arial" w:cs="Arial" w:ascii="Arial" w:hAnsi="Arial"/>
                <w:color w:val="000000"/>
                <w:position w:val="0"/>
                <w:sz w:val="20"/>
                <w:sz w:val="20"/>
                <w:szCs w:val="20"/>
                <w:shd w:fill="FFFF00" w:val="clear"/>
                <w:vertAlign w:val="baseline"/>
              </w:rPr>
              <w:t>00,00%</w:t>
            </w:r>
            <w:r>
              <w:rPr>
                <w:rFonts w:eastAsia="Arial" w:cs="Arial" w:ascii="Arial" w:hAnsi="Arial"/>
                <w:color w:val="000000"/>
                <w:position w:val="0"/>
                <w:sz w:val="20"/>
                <w:sz w:val="20"/>
                <w:szCs w:val="20"/>
                <w:highlight w:val="white"/>
                <w:vertAlign w:val="baseline"/>
              </w:rPr>
              <w:t xml:space="preserve"> (x</w:t>
            </w:r>
            <w:r>
              <w:rPr>
                <w:rFonts w:eastAsia="Arial" w:cs="Arial" w:ascii="Arial" w:hAnsi="Arial"/>
                <w:color w:val="000000"/>
                <w:position w:val="0"/>
                <w:sz w:val="20"/>
                <w:sz w:val="20"/>
                <w:szCs w:val="20"/>
                <w:shd w:fill="FFFF00" w:val="clear"/>
                <w:vertAlign w:val="baseline"/>
              </w:rPr>
              <w:t>xxxxx</w:t>
            </w:r>
            <w:r>
              <w:rPr>
                <w:rFonts w:eastAsia="Arial" w:cs="Arial" w:ascii="Arial" w:hAnsi="Arial"/>
                <w:color w:val="000000"/>
                <w:position w:val="0"/>
                <w:sz w:val="20"/>
                <w:sz w:val="20"/>
                <w:szCs w:val="20"/>
                <w:highlight w:val="white"/>
                <w:vertAlign w:val="baseline"/>
              </w:rPr>
              <w:t xml:space="preserve"> por cento) referente à mão de obra.</w:t>
            </w:r>
          </w:p>
          <w:p>
            <w:pPr>
              <w:pStyle w:val="Normal1"/>
              <w:widowControl w:val="false"/>
              <w:tabs>
                <w:tab w:val="clear" w:pos="720"/>
                <w:tab w:val="left" w:pos="567"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2.1.1</w:t>
            </w:r>
            <w:r>
              <w:rPr>
                <w:rFonts w:eastAsia="Arial" w:cs="Arial" w:ascii="Arial" w:hAnsi="Arial"/>
                <w:color w:val="000000"/>
                <w:position w:val="0"/>
                <w:sz w:val="20"/>
                <w:sz w:val="20"/>
                <w:szCs w:val="20"/>
                <w:highlight w:val="white"/>
                <w:vertAlign w:val="baseline"/>
              </w:rPr>
              <w:t xml:space="preserve"> Não serão aceitas propostas com valor superior ao preço máximo admitida para a licitação.</w:t>
            </w:r>
          </w:p>
          <w:p>
            <w:pPr>
              <w:pStyle w:val="Normal1"/>
              <w:widowControl w:val="false"/>
              <w:tabs>
                <w:tab w:val="clear" w:pos="720"/>
                <w:tab w:val="left" w:pos="567"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2.1.1.1</w:t>
            </w:r>
            <w:r>
              <w:rPr>
                <w:rFonts w:eastAsia="Arial" w:cs="Arial" w:ascii="Arial" w:hAnsi="Arial"/>
                <w:color w:val="000000"/>
                <w:position w:val="0"/>
                <w:sz w:val="20"/>
                <w:sz w:val="20"/>
                <w:szCs w:val="20"/>
                <w:highlight w:val="white"/>
                <w:vertAlign w:val="baseline"/>
              </w:rPr>
              <w:t xml:space="preserve"> Encerrada a fase de lances, após a negociação, serão desclassificadas as propostas que permanecerem acima dos valores unitários máximos e totais máximos fixados neste Edital.</w:t>
            </w:r>
          </w:p>
          <w:p>
            <w:pPr>
              <w:pStyle w:val="Normal1"/>
              <w:widowControl w:val="false"/>
              <w:tabs>
                <w:tab w:val="clear" w:pos="720"/>
                <w:tab w:val="left" w:pos="567" w:leader="none"/>
              </w:tabs>
              <w:spacing w:lineRule="auto" w:line="240" w:before="57" w:after="0"/>
              <w:jc w:val="both"/>
              <w:rPr>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2.1.2</w:t>
            </w:r>
            <w:r>
              <w:rPr>
                <w:rFonts w:eastAsia="Arial" w:cs="Arial" w:ascii="Arial" w:hAnsi="Arial"/>
                <w:color w:val="000000"/>
                <w:position w:val="0"/>
                <w:sz w:val="20"/>
                <w:sz w:val="20"/>
                <w:szCs w:val="20"/>
                <w:highlight w:val="white"/>
                <w:vertAlign w:val="baseline"/>
              </w:rPr>
              <w:t xml:space="preserve"> O BDI, que incidirá sobre o somatório dos custos totais de cada item de serviço, poderá ser apresentado à parte, com a proposta, sendo ali necessariamente detalhada sua composição.</w:t>
            </w:r>
          </w:p>
          <w:p>
            <w:pPr>
              <w:pStyle w:val="Normal1"/>
              <w:keepNext w:val="false"/>
              <w:keepLines w:val="false"/>
              <w:widowControl/>
              <w:shd w:val="clear" w:fill="auto"/>
              <w:tabs>
                <w:tab w:val="left" w:pos="720" w:leader="none"/>
              </w:tabs>
              <w:spacing w:lineRule="auto" w:line="240" w:before="240" w:after="0"/>
              <w:ind w:hanging="0" w:left="0" w:right="0"/>
              <w:jc w:val="left"/>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 BDI Referencial utilizado para estabelecer o preço máximo é dado conforme Anexo XII.</w:t>
            </w:r>
          </w:p>
          <w:p>
            <w:pPr>
              <w:pStyle w:val="Normal1"/>
              <w:keepNext w:val="false"/>
              <w:keepLines w:val="false"/>
              <w:widowControl/>
              <w:shd w:val="clear" w:fill="auto"/>
              <w:tabs>
                <w:tab w:val="left" w:pos="720" w:leader="none"/>
              </w:tabs>
              <w:spacing w:lineRule="auto" w:line="240" w:before="240" w:after="0"/>
              <w:ind w:hanging="0" w:left="0" w:right="0"/>
              <w:jc w:val="left"/>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licitante poderá compor sua taxa de BDI com base em fórmula apresentada no Anexo XI.</w:t>
            </w:r>
          </w:p>
          <w:p>
            <w:pPr>
              <w:pStyle w:val="Normal1"/>
              <w:keepNext w:val="false"/>
              <w:keepLines w:val="false"/>
              <w:widowControl/>
              <w:shd w:val="clear" w:fill="auto"/>
              <w:tabs>
                <w:tab w:val="left" w:pos="720" w:leader="none"/>
              </w:tabs>
              <w:spacing w:lineRule="auto" w:line="240" w:before="240" w:after="0"/>
              <w:ind w:hanging="0" w:left="0" w:right="0"/>
              <w:jc w:val="left"/>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 licitante não apresente a composição do BDI, conforme itens 2.1.3 e 2.1.4, considerar-se-á que adotou o BDI Referencial constante do Anexo XII deste Edital.</w:t>
            </w:r>
          </w:p>
          <w:p>
            <w:pPr>
              <w:pStyle w:val="Normal1"/>
              <w:keepNext w:val="false"/>
              <w:keepLines w:val="false"/>
              <w:widowControl/>
              <w:shd w:val="clear" w:fill="auto"/>
              <w:tabs>
                <w:tab w:val="left" w:pos="720" w:leader="none"/>
              </w:tabs>
              <w:spacing w:lineRule="auto" w:line="240" w:before="240" w:after="0"/>
              <w:ind w:hanging="0" w:left="0" w:right="0"/>
              <w:jc w:val="left"/>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encargos sociais sobre os custos da mão de obra horistas utilizadas como referência são os constantes da Planilha do Anexo X.</w:t>
            </w:r>
          </w:p>
          <w:p>
            <w:pPr>
              <w:pStyle w:val="Normal1"/>
              <w:shd w:val="clear" w:fill="FFFFFF"/>
              <w:ind w:right="-1"/>
              <w:jc w:val="both"/>
              <w:rPr>
                <w:position w:val="0"/>
                <w:sz w:val="24"/>
                <w:sz w:val="24"/>
                <w:vertAlign w:val="baseline"/>
              </w:rPr>
            </w:pPr>
            <w:r>
              <w:rPr>
                <w:rFonts w:eastAsia="Arial" w:cs="Arial" w:ascii="Arial" w:hAnsi="Arial"/>
                <w:b/>
                <w:i w:val="false"/>
                <w:color w:val="000000"/>
                <w:position w:val="0"/>
                <w:sz w:val="20"/>
                <w:sz w:val="20"/>
                <w:szCs w:val="20"/>
                <w:highlight w:val="white"/>
                <w:vertAlign w:val="baseline"/>
              </w:rPr>
              <w:t>2.1.7</w:t>
            </w:r>
            <w:r>
              <w:rPr>
                <w:rFonts w:eastAsia="Arial" w:cs="Arial" w:ascii="Arial" w:hAnsi="Arial"/>
                <w:i w:val="false"/>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highlight w:val="white"/>
                <w:vertAlign w:val="baseline"/>
              </w:rPr>
              <w:t>Os Licitantes deverão obedecer ao critério de julgamento da proposta no sistema de compras eletrônicas adotado pela Administração estadual [XXXXXXXX], que será o preço total da licitação, não ultrapassando o máximo fixado..</w:t>
            </w:r>
          </w:p>
          <w:p>
            <w:pPr>
              <w:pStyle w:val="Normal1"/>
              <w:shd w:val="clear" w:fill="FFFFFF"/>
              <w:ind w:right="-1"/>
              <w:jc w:val="both"/>
              <w:rPr>
                <w:position w:val="0"/>
                <w:sz w:val="24"/>
                <w:sz w:val="24"/>
                <w:vertAlign w:val="baseline"/>
              </w:rPr>
            </w:pPr>
            <w:r>
              <w:rPr>
                <w:position w:val="0"/>
                <w:sz w:val="24"/>
                <w:sz w:val="24"/>
                <w:vertAlign w:val="baseline"/>
              </w:rPr>
            </w:r>
          </w:p>
        </w:tc>
      </w:tr>
    </w:tbl>
    <w:p>
      <w:pPr>
        <w:pStyle w:val="Normal1"/>
        <w:shd w:val="clear" w:fill="FFFFFF"/>
        <w:tabs>
          <w:tab w:val="clear" w:pos="720"/>
          <w:tab w:val="left" w:pos="284" w:leader="none"/>
        </w:tabs>
        <w:jc w:val="both"/>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4"/>
        <w:tblW w:w="9100" w:type="dxa"/>
        <w:jc w:val="left"/>
        <w:tblInd w:w="-55" w:type="dxa"/>
        <w:tblLayout w:type="fixed"/>
        <w:tblCellMar>
          <w:top w:w="0" w:type="dxa"/>
          <w:left w:w="108" w:type="dxa"/>
          <w:bottom w:w="0" w:type="dxa"/>
          <w:right w:w="108" w:type="dxa"/>
        </w:tblCellMar>
        <w:tblLook w:val="0000"/>
      </w:tblPr>
      <w:tblGrid>
        <w:gridCol w:w="9100"/>
      </w:tblGrid>
      <w:tr>
        <w:trPr/>
        <w:tc>
          <w:tcPr>
            <w:tcW w:w="9100"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eastAsia="Arial" w:cs="Arial"/>
                <w:b/>
                <w:color w:val="000000"/>
                <w:position w:val="0"/>
                <w:sz w:val="20"/>
                <w:sz w:val="20"/>
                <w:szCs w:val="20"/>
                <w:highlight w:val="yellow"/>
                <w:vertAlign w:val="baseline"/>
              </w:rPr>
            </w:pPr>
            <w:r>
              <w:rPr>
                <w:rFonts w:eastAsia="Arial" w:cs="Arial" w:ascii="Arial" w:hAnsi="Arial"/>
                <w:b/>
                <w:position w:val="0"/>
                <w:sz w:val="20"/>
                <w:sz w:val="20"/>
                <w:szCs w:val="20"/>
                <w:highlight w:val="yellow"/>
                <w:vertAlign w:val="baseline"/>
              </w:rPr>
              <w:t xml:space="preserve">Nota explicativa </w:t>
            </w:r>
            <w:r>
              <w:rPr>
                <w:rFonts w:eastAsia="Arial" w:cs="Arial" w:ascii="Arial" w:hAnsi="Arial"/>
                <w:b/>
                <w:position w:val="0"/>
                <w:sz w:val="20"/>
                <w:sz w:val="20"/>
                <w:szCs w:val="20"/>
                <w:highlight w:val="yellow"/>
                <w:vertAlign w:val="baseline"/>
              </w:rPr>
              <w:fldChar w:fldCharType="begin"/>
            </w:r>
            <w:r>
              <w:rPr>
                <w:vertAlign w:val="baseline"/>
                <w:position w:val="0"/>
                <w:sz w:val="20"/>
                <w:sz w:val="20"/>
                <w:b/>
                <w:szCs w:val="20"/>
                <w:highlight w:val="yellow"/>
                <w:rFonts w:eastAsia="Arial" w:cs="Arial" w:ascii="Arial" w:hAnsi="Arial"/>
              </w:rPr>
              <w:instrText xml:space="preserve"> SEQ Desenho \* ARABIC </w:instrText>
            </w:r>
            <w:r>
              <w:rPr>
                <w:vertAlign w:val="baseline"/>
                <w:position w:val="0"/>
                <w:sz w:val="20"/>
                <w:sz w:val="20"/>
                <w:b/>
                <w:szCs w:val="20"/>
                <w:highlight w:val="yellow"/>
                <w:rFonts w:eastAsia="Arial" w:cs="Arial" w:ascii="Arial" w:hAnsi="Arial"/>
              </w:rPr>
              <w:fldChar w:fldCharType="separate"/>
            </w:r>
            <w:r>
              <w:rPr>
                <w:vertAlign w:val="baseline"/>
                <w:position w:val="0"/>
                <w:sz w:val="20"/>
                <w:sz w:val="20"/>
                <w:b/>
                <w:szCs w:val="20"/>
                <w:highlight w:val="yellow"/>
                <w:rFonts w:eastAsia="Arial" w:cs="Arial" w:ascii="Arial" w:hAnsi="Arial"/>
              </w:rPr>
              <w:t>1</w:t>
            </w:r>
            <w:r>
              <w:rPr>
                <w:vertAlign w:val="baseline"/>
                <w:position w:val="0"/>
                <w:sz w:val="20"/>
                <w:sz w:val="20"/>
                <w:b/>
                <w:szCs w:val="20"/>
                <w:highlight w:val="yellow"/>
                <w:rFonts w:eastAsia="Arial" w:cs="Arial" w:ascii="Arial" w:hAnsi="Arial"/>
              </w:rPr>
              <w:fldChar w:fldCharType="end"/>
            </w:r>
            <w:r>
              <w:rPr>
                <w:rFonts w:eastAsia="Arial" w:cs="Arial" w:ascii="Arial" w:hAnsi="Arial"/>
                <w:b/>
                <w:position w:val="0"/>
                <w:sz w:val="20"/>
                <w:sz w:val="20"/>
                <w:szCs w:val="20"/>
                <w:highlight w:val="yellow"/>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 xml:space="preserve">Se adotado o critério de julgamento de maior desconto a redação do item </w:t>
            </w: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t>2.1.1</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 xml:space="preserve"> e </w:t>
            </w: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t>2.1.1.1</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 xml:space="preserve"> deverá ser a seguinte:</w:t>
            </w:r>
          </w:p>
          <w:p>
            <w:pPr>
              <w:pStyle w:val="Normal1"/>
              <w:keepNext w:val="false"/>
              <w:keepLines w:val="false"/>
              <w:widowControl/>
              <w:shd w:val="clear" w:fill="FFFF00"/>
              <w:spacing w:lineRule="auto" w:line="240" w:before="57" w:after="57"/>
              <w:ind w:hanging="0" w:left="0" w:right="0"/>
              <w:jc w:val="both"/>
              <w:rPr>
                <w:rFonts w:ascii="Arial" w:hAnsi="Arial" w:eastAsia="Arial" w:cs="Arial"/>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(ou com lances negativos, no caso de critério de julgamento de maior desconto) do(s) valor(es) unitário(s) máximo(s) e total(is) máximo(s) fixado(s) neste Edital serão desclassificados”.</w:t>
            </w:r>
          </w:p>
          <w:p>
            <w:pPr>
              <w:pStyle w:val="Normal1"/>
              <w:keepNext w:val="false"/>
              <w:keepLines w:val="false"/>
              <w:widowControl/>
              <w:shd w:val="clear" w:fill="FFFF00"/>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2</w:t>
            </w: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t>.1.1.1.</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Encerrada a fase de lances, após a negociação, as propostas que permanecerem acima (ou com lances negativos, no caso de critério de maior desconto) do(s) valor(es) unitário(s) máximo(s) e total(is) máximo(s) fixado(s) neste Edital serão desclassificadas.”</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2.1.1.2.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percentual de desconto a ser oferecido pelas licitantes incidirá automaticamente sobre o preço máximo estabelecido neste instrumento convocatório e representará desconto uniforme na forma linear sobre todos os itens da Planilha Orçamentária de Referência.</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r>
          </w:p>
        </w:tc>
      </w:tr>
    </w:tbl>
    <w:p>
      <w:pPr>
        <w:pStyle w:val="Normal1"/>
        <w:rPr>
          <w:position w:val="0"/>
          <w:sz w:val="24"/>
          <w:sz w:val="24"/>
          <w:vertAlign w:val="baseline"/>
        </w:rPr>
      </w:pPr>
      <w:r>
        <w:rPr>
          <w:position w:val="0"/>
          <w:sz w:val="24"/>
          <w:sz w:val="24"/>
          <w:vertAlign w:val="baseline"/>
        </w:rPr>
      </w:r>
    </w:p>
    <w:tbl>
      <w:tblPr>
        <w:tblStyle w:val="Table5"/>
        <w:tblW w:w="9112" w:type="dxa"/>
        <w:jc w:val="left"/>
        <w:tblInd w:w="-55" w:type="dxa"/>
        <w:tblLayout w:type="fixed"/>
        <w:tblCellMar>
          <w:top w:w="0" w:type="dxa"/>
          <w:left w:w="108" w:type="dxa"/>
          <w:bottom w:w="0" w:type="dxa"/>
          <w:right w:w="108" w:type="dxa"/>
        </w:tblCellMar>
        <w:tblLook w:val="0000"/>
      </w:tblPr>
      <w:tblGrid>
        <w:gridCol w:w="9112"/>
      </w:tblGrid>
      <w:tr>
        <w:trPr/>
        <w:tc>
          <w:tcPr>
            <w:tcW w:w="911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57" w:after="0"/>
              <w:ind w:right="-1"/>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3 DOS RECURSOS ORÇAMENTÁRIOS:</w:t>
            </w:r>
          </w:p>
          <w:p>
            <w:pPr>
              <w:pStyle w:val="Normal1"/>
              <w:spacing w:lineRule="auto" w:line="240" w:before="0" w:after="57"/>
              <w:ind w:right="-30"/>
              <w:rPr>
                <w:rFonts w:ascii="Arial" w:hAnsi="Arial" w:eastAsia="Arial" w:cs="Arial"/>
                <w:color w:val="000000"/>
                <w:position w:val="0"/>
                <w:sz w:val="20"/>
                <w:sz w:val="20"/>
                <w:szCs w:val="20"/>
                <w:vertAlign w:val="baseline"/>
              </w:rPr>
            </w:pPr>
            <w:r>
              <w:rPr>
                <w:rFonts w:eastAsia="Arial" w:cs="Arial" w:ascii="Arial" w:hAnsi="Arial"/>
                <w:b/>
                <w:position w:val="0"/>
                <w:sz w:val="20"/>
                <w:sz w:val="20"/>
                <w:szCs w:val="20"/>
                <w:vertAlign w:val="baseline"/>
              </w:rPr>
              <w:t xml:space="preserve">3.1 </w:t>
            </w:r>
            <w:r>
              <w:rPr>
                <w:rFonts w:eastAsia="Arial" w:cs="Arial" w:ascii="Arial" w:hAnsi="Arial"/>
                <w:b w:val="false"/>
                <w:position w:val="0"/>
                <w:sz w:val="20"/>
                <w:sz w:val="20"/>
                <w:szCs w:val="20"/>
                <w:vertAlign w:val="baseline"/>
              </w:rPr>
              <w:t>As despesas decorrentes da presente contratação correrão à conta de recursos específicos consignados no Orçamento Geral do Estado deste exercício, na dotação abaixo discriminada:</w:t>
            </w:r>
          </w:p>
          <w:p>
            <w:pPr>
              <w:pStyle w:val="Normal1"/>
              <w:spacing w:lineRule="auto" w:line="240" w:before="0" w:after="57"/>
              <w:ind w:right="-3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pacing w:lineRule="auto" w:line="240" w:before="0" w:after="57"/>
              <w:ind w:hanging="0" w:left="567"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Gestão/Unidade: </w:t>
            </w:r>
            <w:r>
              <w:rPr>
                <w:rFonts w:eastAsia="Arial" w:cs="Arial" w:ascii="Arial" w:hAnsi="Arial"/>
                <w:b/>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Fonte de Recursos: </w:t>
            </w:r>
            <w:r>
              <w:rPr>
                <w:rFonts w:eastAsia="Arial" w:cs="Arial" w:ascii="Arial" w:hAnsi="Arial"/>
                <w:b/>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Programa de Trabalho: </w:t>
            </w:r>
            <w:r>
              <w:rPr>
                <w:rFonts w:eastAsia="Arial" w:cs="Arial" w:ascii="Arial" w:hAnsi="Arial"/>
                <w:b/>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Elemento de Despesa: (</w:t>
            </w:r>
            <w:r>
              <w:rPr>
                <w:rFonts w:eastAsia="Arial" w:cs="Arial" w:ascii="Arial" w:hAnsi="Arial"/>
                <w:b/>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567" w:leader="none"/>
              </w:tabs>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3.2</w:t>
            </w:r>
            <w:r>
              <w:rPr>
                <w:rFonts w:eastAsia="Arial" w:cs="Arial" w:ascii="Arial" w:hAnsi="Arial"/>
                <w:position w:val="0"/>
                <w:sz w:val="20"/>
                <w:sz w:val="20"/>
                <w:szCs w:val="20"/>
                <w:highlight w:val="white"/>
                <w:vertAlign w:val="baseline"/>
              </w:rPr>
              <w:t xml:space="preserve"> Os pagamentos referentes aos serviços executados e certificados serão efetuados pela (nome do órgão/entidade que efetuará o pagamento), em conformidade com o disposto no contrato</w:t>
            </w:r>
            <w:r>
              <w:rPr>
                <w:rFonts w:eastAsia="Arial" w:cs="Arial" w:ascii="Arial" w:hAnsi="Arial"/>
                <w:position w:val="0"/>
                <w:sz w:val="20"/>
                <w:sz w:val="20"/>
                <w:szCs w:val="20"/>
                <w:vertAlign w:val="baseline"/>
              </w:rPr>
              <w:t xml:space="preserve"> (Anexo I).</w:t>
            </w:r>
          </w:p>
          <w:p>
            <w:pPr>
              <w:pStyle w:val="Normal1"/>
              <w:widowControl w:val="false"/>
              <w:shd w:val="clear" w:fill="FFFFFF"/>
              <w:tabs>
                <w:tab w:val="clear" w:pos="720"/>
                <w:tab w:val="left" w:pos="567" w:leader="none"/>
              </w:tabs>
              <w:spacing w:lineRule="auto" w:line="240" w:before="57" w:after="0"/>
              <w:ind w:right="-1"/>
              <w:jc w:val="both"/>
              <w:rPr>
                <w:position w:val="0"/>
                <w:sz w:val="24"/>
                <w:sz w:val="24"/>
                <w:vertAlign w:val="baseline"/>
              </w:rPr>
            </w:pPr>
            <w:r>
              <w:rPr>
                <w:rFonts w:eastAsia="Arial" w:cs="Arial" w:ascii="Arial" w:hAnsi="Arial"/>
                <w:b/>
                <w:position w:val="0"/>
                <w:sz w:val="20"/>
                <w:sz w:val="20"/>
                <w:szCs w:val="20"/>
                <w:highlight w:val="white"/>
                <w:vertAlign w:val="baseline"/>
              </w:rPr>
              <w:t xml:space="preserve">3.3 </w:t>
            </w:r>
            <w:r>
              <w:rPr>
                <w:rFonts w:eastAsia="Arial" w:cs="Arial" w:ascii="Arial" w:hAnsi="Arial"/>
                <w:b w:val="false"/>
                <w:position w:val="0"/>
                <w:sz w:val="20"/>
                <w:sz w:val="20"/>
                <w:szCs w:val="20"/>
                <w:highlight w:val="white"/>
                <w:vertAlign w:val="baseline"/>
              </w:rPr>
              <w:t>As faturas correspondentes aos serviços a serem executados deverão ser emitidas pelo contratado em nome do órgão do órgão/entidade que efetuará o pagamento.</w:t>
            </w:r>
          </w:p>
        </w:tc>
      </w:tr>
    </w:tbl>
    <w:p>
      <w:pPr>
        <w:pStyle w:val="Normal1"/>
        <w:shd w:val="clear" w:fill="FFFFFF"/>
        <w:tabs>
          <w:tab w:val="clear" w:pos="720"/>
          <w:tab w:val="left" w:pos="284" w:leader="none"/>
        </w:tabs>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
        <w:tblW w:w="9095" w:type="dxa"/>
        <w:jc w:val="left"/>
        <w:tblInd w:w="-55" w:type="dxa"/>
        <w:tblLayout w:type="fixed"/>
        <w:tblCellMar>
          <w:top w:w="0" w:type="dxa"/>
          <w:left w:w="108" w:type="dxa"/>
          <w:bottom w:w="0" w:type="dxa"/>
          <w:right w:w="108" w:type="dxa"/>
        </w:tblCellMar>
        <w:tblLook w:val="0000"/>
      </w:tblPr>
      <w:tblGrid>
        <w:gridCol w:w="9095"/>
      </w:tblGrid>
      <w:tr>
        <w:trPr/>
        <w:tc>
          <w:tcPr>
            <w:tcW w:w="909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shd w:val="clear" w:fill="FFFFFF"/>
              <w:ind w:right="57"/>
              <w:jc w:val="both"/>
              <w:rPr>
                <w:rFonts w:ascii="Arial" w:hAnsi="Arial" w:eastAsia="Arial" w:cs="Arial"/>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4 SISTEMA DO PREGÃO ELETRÔNICO:</w:t>
            </w:r>
          </w:p>
          <w:p>
            <w:pPr>
              <w:pStyle w:val="Normal1"/>
              <w:shd w:val="clear" w:fill="FFFFFF"/>
              <w:ind w:right="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 xml:space="preserve">O pregão será realizado por meio do sistema eletrônico de licitações </w:t>
            </w:r>
            <w:r>
              <w:rPr>
                <w:rFonts w:eastAsia="Arial" w:cs="Arial" w:ascii="Arial" w:hAnsi="Arial"/>
                <w:color w:val="000000"/>
                <w:position w:val="0"/>
                <w:sz w:val="20"/>
                <w:sz w:val="20"/>
                <w:szCs w:val="20"/>
                <w:highlight w:val="yellow"/>
                <w:vertAlign w:val="baseline"/>
              </w:rPr>
              <w:t>[XXXXXXXX]</w:t>
            </w:r>
            <w:r>
              <w:rPr>
                <w:rFonts w:eastAsia="Arial" w:cs="Arial" w:ascii="Arial" w:hAnsi="Arial"/>
                <w:color w:val="000000"/>
                <w:position w:val="0"/>
                <w:sz w:val="20"/>
                <w:sz w:val="20"/>
                <w:szCs w:val="20"/>
                <w:highlight w:val="white"/>
                <w:vertAlign w:val="baseline"/>
              </w:rPr>
              <w:t xml:space="preserve">. O endereço eletrônico para recebimento e abertura de propostas é o </w:t>
            </w:r>
            <w:hyperlink r:id="rId2">
              <w:r>
                <w:rPr>
                  <w:rStyle w:val="ListLabel109"/>
                  <w:rFonts w:eastAsia="Arial" w:cs="Arial" w:ascii="Arial" w:hAnsi="Arial"/>
                  <w:color w:val="000080"/>
                  <w:position w:val="0"/>
                  <w:sz w:val="20"/>
                  <w:sz w:val="20"/>
                  <w:szCs w:val="20"/>
                  <w:highlight w:val="yellow"/>
                  <w:u w:val="single"/>
                  <w:vertAlign w:val="baseline"/>
                </w:rPr>
                <w:t>[</w:t>
              </w:r>
            </w:hyperlink>
            <w:r>
              <w:rPr>
                <w:rFonts w:eastAsia="Arial" w:cs="Arial" w:ascii="Arial" w:hAnsi="Arial"/>
                <w:color w:val="000080"/>
                <w:position w:val="0"/>
                <w:sz w:val="20"/>
                <w:sz w:val="20"/>
                <w:szCs w:val="20"/>
                <w:highlight w:val="yellow"/>
                <w:u w:val="single"/>
                <w:vertAlign w:val="baseline"/>
              </w:rPr>
              <w:t>XXXXXXXXXX].</w:t>
            </w:r>
          </w:p>
          <w:p>
            <w:pPr>
              <w:pStyle w:val="Normal1"/>
              <w:shd w:val="clear" w:fill="FFFFFF"/>
              <w:ind w:right="57"/>
              <w:jc w:val="both"/>
              <w:rPr>
                <w:position w:val="0"/>
                <w:sz w:val="24"/>
                <w:sz w:val="24"/>
                <w:vertAlign w:val="baseline"/>
              </w:rPr>
            </w:pPr>
            <w:r>
              <w:rPr>
                <w:rFonts w:eastAsia="Arial" w:cs="Arial" w:ascii="Arial" w:hAnsi="Arial"/>
                <w:color w:val="000000"/>
                <w:position w:val="0"/>
                <w:sz w:val="20"/>
                <w:sz w:val="20"/>
                <w:szCs w:val="20"/>
                <w:highlight w:val="white"/>
                <w:vertAlign w:val="baseline"/>
              </w:rPr>
              <w:t xml:space="preserve">O edital está disponível na </w:t>
            </w:r>
            <w:r>
              <w:rPr>
                <w:rFonts w:eastAsia="Arial" w:cs="Arial" w:ascii="Arial" w:hAnsi="Arial"/>
                <w:i/>
                <w:color w:val="000000"/>
                <w:position w:val="0"/>
                <w:sz w:val="20"/>
                <w:sz w:val="20"/>
                <w:szCs w:val="20"/>
                <w:highlight w:val="white"/>
                <w:vertAlign w:val="baseline"/>
              </w:rPr>
              <w:t>internet</w:t>
            </w:r>
            <w:r>
              <w:rPr>
                <w:rFonts w:eastAsia="Arial" w:cs="Arial" w:ascii="Arial" w:hAnsi="Arial"/>
                <w:color w:val="000000"/>
                <w:position w:val="0"/>
                <w:sz w:val="20"/>
                <w:sz w:val="20"/>
                <w:szCs w:val="20"/>
                <w:highlight w:val="white"/>
                <w:vertAlign w:val="baseline"/>
              </w:rPr>
              <w:t xml:space="preserve">, nas páginas do Portal Nacional de Contratações Públicas </w:t>
            </w:r>
            <w:r>
              <w:rPr>
                <w:rFonts w:eastAsia="Arial" w:cs="Arial" w:ascii="Arial" w:hAnsi="Arial"/>
                <w:color w:val="C9211E"/>
                <w:position w:val="0"/>
                <w:sz w:val="20"/>
                <w:sz w:val="20"/>
                <w:szCs w:val="20"/>
                <w:highlight w:val="yellow"/>
                <w:vertAlign w:val="baseline"/>
              </w:rPr>
              <w:t>https://pncp.gov.br/</w:t>
            </w:r>
            <w:r>
              <w:rPr>
                <w:rFonts w:eastAsia="Arial" w:cs="Arial" w:ascii="Arial" w:hAnsi="Arial"/>
                <w:color w:val="000000"/>
                <w:position w:val="0"/>
                <w:sz w:val="20"/>
                <w:sz w:val="20"/>
                <w:szCs w:val="20"/>
                <w:highlight w:val="white"/>
                <w:vertAlign w:val="baseline"/>
              </w:rPr>
              <w:t xml:space="preserve">, </w:t>
            </w:r>
            <w:hyperlink r:id="rId3">
              <w:r>
                <w:rPr>
                  <w:rStyle w:val="ListLabel110"/>
                  <w:rFonts w:eastAsia="Arial" w:cs="Arial" w:ascii="Arial" w:hAnsi="Arial"/>
                  <w:color w:val="000080"/>
                  <w:position w:val="0"/>
                  <w:sz w:val="20"/>
                  <w:sz w:val="20"/>
                  <w:szCs w:val="20"/>
                  <w:highlight w:val="white"/>
                  <w:u w:val="single"/>
                  <w:vertAlign w:val="baseline"/>
                </w:rPr>
                <w:t>www.comprasparana.pr.gov.br</w:t>
              </w:r>
            </w:hyperlink>
            <w:r>
              <w:rPr>
                <w:rFonts w:eastAsia="Arial" w:cs="Arial" w:ascii="Arial" w:hAnsi="Arial"/>
                <w:color w:val="000000"/>
                <w:position w:val="0"/>
                <w:sz w:val="20"/>
                <w:sz w:val="20"/>
                <w:szCs w:val="20"/>
                <w:highlight w:val="white"/>
                <w:vertAlign w:val="baseline"/>
              </w:rPr>
              <w:t xml:space="preserve"> e </w:t>
            </w:r>
            <w:r>
              <w:rPr>
                <w:rFonts w:eastAsia="Arial" w:cs="Arial" w:ascii="Arial" w:hAnsi="Arial"/>
                <w:color w:val="000000"/>
                <w:position w:val="0"/>
                <w:sz w:val="20"/>
                <w:sz w:val="20"/>
                <w:szCs w:val="20"/>
                <w:highlight w:val="yellow"/>
                <w:vertAlign w:val="baseline"/>
              </w:rPr>
              <w:t>[XXXXXXXXXXX].</w:t>
            </w:r>
          </w:p>
          <w:p>
            <w:pPr>
              <w:pStyle w:val="Normal1"/>
              <w:shd w:val="clear" w:fill="FFFFFF"/>
              <w:ind w:right="57"/>
              <w:jc w:val="both"/>
              <w:rPr>
                <w:position w:val="0"/>
                <w:sz w:val="24"/>
                <w:sz w:val="24"/>
                <w:vertAlign w:val="baseline"/>
              </w:rPr>
            </w:pPr>
            <w:r>
              <w:rPr>
                <w:position w:val="0"/>
                <w:sz w:val="24"/>
                <w:sz w:val="24"/>
                <w:vertAlign w:val="baseline"/>
              </w:rPr>
            </w:r>
          </w:p>
          <w:tbl>
            <w:tblPr>
              <w:tblStyle w:val="Table7"/>
              <w:tblW w:w="9004" w:type="dxa"/>
              <w:jc w:val="left"/>
              <w:tblInd w:w="0" w:type="dxa"/>
              <w:tblLayout w:type="fixed"/>
              <w:tblCellMar>
                <w:top w:w="0" w:type="dxa"/>
                <w:left w:w="108" w:type="dxa"/>
                <w:bottom w:w="0" w:type="dxa"/>
                <w:right w:w="108" w:type="dxa"/>
              </w:tblCellMar>
              <w:tblLook w:val="0000"/>
            </w:tblPr>
            <w:tblGrid>
              <w:gridCol w:w="9004"/>
            </w:tblGrid>
            <w:tr>
              <w:trPr/>
              <w:tc>
                <w:tcPr>
                  <w:tcW w:w="9004"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sistema eletrônico poderá ser alterado pelo Órgão/Entidade Estadual.</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Assim, o endereço eletrônico para recebimento e abertura de propostas </w:t>
                  </w:r>
                  <w:hyperlink r:id="rId4">
                    <w:r>
                      <w:rPr>
                        <w:rStyle w:val="ListLabel111"/>
                        <w:rFonts w:eastAsia="Arial" w:cs="Arial" w:ascii="Arial" w:hAnsi="Arial"/>
                        <w:b w:val="false"/>
                        <w:i w:val="false"/>
                        <w:caps w:val="false"/>
                        <w:smallCaps w:val="false"/>
                        <w:strike w:val="false"/>
                        <w:dstrike w:val="false"/>
                        <w:color w:val="000080"/>
                        <w:position w:val="0"/>
                        <w:sz w:val="20"/>
                        <w:sz w:val="20"/>
                        <w:szCs w:val="20"/>
                        <w:u w:val="single"/>
                        <w:shd w:fill="auto" w:val="clear"/>
                        <w:vertAlign w:val="baseline"/>
                      </w:rPr>
                      <w:t>[</w:t>
                    </w:r>
                  </w:hyperlink>
                  <w:r>
                    <w:rPr>
                      <w:rFonts w:eastAsia="Arial" w:cs="Arial" w:ascii="Arial" w:hAnsi="Arial"/>
                      <w:b w:val="false"/>
                      <w:i w:val="false"/>
                      <w:caps w:val="false"/>
                      <w:smallCaps w:val="false"/>
                      <w:strike w:val="false"/>
                      <w:dstrike w:val="false"/>
                      <w:color w:val="000080"/>
                      <w:position w:val="0"/>
                      <w:sz w:val="20"/>
                      <w:sz w:val="20"/>
                      <w:szCs w:val="20"/>
                      <w:u w:val="single"/>
                      <w:shd w:fill="auto" w:val="clear"/>
                      <w:vertAlign w:val="baseline"/>
                    </w:rPr>
                    <w:t>XXXXXXXXXX]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pode ser adequado de acordo com o sistema adotado pelo Órgão/Entidade Estadual.</w:t>
                  </w:r>
                </w:p>
              </w:tc>
            </w:tr>
          </w:tbl>
          <w:p>
            <w:pPr>
              <w:pStyle w:val="Normal1"/>
              <w:shd w:val="clear" w:fill="FFFFFF"/>
              <w:ind w:right="57"/>
              <w:jc w:val="both"/>
              <w:rPr>
                <w:position w:val="0"/>
                <w:sz w:val="24"/>
                <w:sz w:val="24"/>
                <w:vertAlign w:val="baseline"/>
              </w:rPr>
            </w:pPr>
            <w:r>
              <w:rPr>
                <w:position w:val="0"/>
                <w:sz w:val="24"/>
                <w:sz w:val="24"/>
                <w:vertAlign w:val="baseline"/>
              </w:rPr>
            </w:r>
          </w:p>
          <w:p>
            <w:pPr>
              <w:pStyle w:val="Normal1"/>
              <w:shd w:val="clear" w:fill="FFFFFF"/>
              <w:jc w:val="both"/>
              <w:rPr>
                <w:rFonts w:ascii="Arial" w:hAnsi="Arial" w:eastAsia="Arial" w:cs="Arial"/>
                <w:position w:val="0"/>
                <w:sz w:val="24"/>
                <w:sz w:val="24"/>
                <w:highlight w:val="white"/>
                <w:vertAlign w:val="baseline"/>
              </w:rPr>
            </w:pPr>
            <w:r>
              <w:rPr>
                <w:rFonts w:eastAsia="Arial" w:cs="Arial" w:ascii="Arial" w:hAnsi="Arial"/>
                <w:color w:val="000000"/>
                <w:position w:val="0"/>
                <w:sz w:val="20"/>
                <w:sz w:val="20"/>
                <w:szCs w:val="20"/>
                <w:highlight w:val="white"/>
                <w:vertAlign w:val="baseline"/>
              </w:rPr>
              <w:t xml:space="preserve">Os trabalhos serão conduzidos pelo(a) pregoeiro(a) </w:t>
            </w:r>
            <w:r>
              <w:rPr>
                <w:rFonts w:eastAsia="Arial" w:cs="Arial" w:ascii="Arial" w:hAnsi="Arial"/>
                <w:color w:val="000000"/>
                <w:position w:val="0"/>
                <w:sz w:val="20"/>
                <w:sz w:val="20"/>
                <w:szCs w:val="20"/>
                <w:highlight w:val="yellow"/>
                <w:vertAlign w:val="baseline"/>
              </w:rPr>
              <w:t>nome do(a) pregoeiro(a)</w:t>
            </w:r>
            <w:r>
              <w:rPr>
                <w:rFonts w:eastAsia="Arial" w:cs="Arial" w:ascii="Arial" w:hAnsi="Arial"/>
                <w:color w:val="000000"/>
                <w:position w:val="0"/>
                <w:sz w:val="20"/>
                <w:sz w:val="20"/>
                <w:szCs w:val="20"/>
                <w:highlight w:val="white"/>
                <w:vertAlign w:val="baseline"/>
              </w:rPr>
              <w:t xml:space="preserve"> e equipe de</w:t>
            </w:r>
            <w:r>
              <w:rPr>
                <w:rFonts w:eastAsia="Arial" w:cs="Arial" w:ascii="Arial" w:hAnsi="Arial"/>
                <w:color w:val="000000"/>
                <w:position w:val="0"/>
                <w:sz w:val="20"/>
                <w:sz w:val="20"/>
                <w:szCs w:val="20"/>
                <w:vertAlign w:val="baseline"/>
              </w:rPr>
              <w:t xml:space="preserve"> apoio, designadas pela Resolução/Portaria n.º </w:t>
            </w:r>
            <w:r>
              <w:rPr>
                <w:rFonts w:eastAsia="Arial" w:cs="Arial" w:ascii="Arial" w:hAnsi="Arial"/>
                <w:color w:val="000000"/>
                <w:position w:val="0"/>
                <w:sz w:val="20"/>
                <w:sz w:val="20"/>
                <w:szCs w:val="20"/>
                <w:highlight w:val="yellow"/>
                <w:vertAlign w:val="baseline"/>
              </w:rPr>
              <w:t>XXXX/20XX</w:t>
            </w:r>
            <w:r>
              <w:rPr>
                <w:rFonts w:eastAsia="Arial" w:cs="Arial" w:ascii="Arial" w:hAnsi="Arial"/>
                <w:color w:val="000000"/>
                <w:position w:val="0"/>
                <w:sz w:val="20"/>
                <w:sz w:val="20"/>
                <w:szCs w:val="20"/>
                <w:vertAlign w:val="baseline"/>
              </w:rPr>
              <w:t xml:space="preserve">, servidores(as) do(a) </w:t>
            </w:r>
            <w:r>
              <w:rPr>
                <w:rFonts w:eastAsia="Arial" w:cs="Arial" w:ascii="Arial" w:hAnsi="Arial"/>
                <w:color w:val="000000"/>
                <w:position w:val="0"/>
                <w:sz w:val="20"/>
                <w:sz w:val="20"/>
                <w:szCs w:val="20"/>
                <w:highlight w:val="yellow"/>
                <w:vertAlign w:val="baseline"/>
              </w:rPr>
              <w:t>XXXX/XXXX</w:t>
            </w:r>
            <w:r>
              <w:rPr>
                <w:rFonts w:eastAsia="Arial" w:cs="Arial" w:ascii="Arial" w:hAnsi="Arial"/>
                <w:color w:val="000000"/>
                <w:position w:val="0"/>
                <w:sz w:val="20"/>
                <w:sz w:val="20"/>
                <w:szCs w:val="20"/>
                <w:vertAlign w:val="baseline"/>
              </w:rPr>
              <w:t>.</w:t>
            </w:r>
          </w:p>
          <w:p>
            <w:pPr>
              <w:pStyle w:val="Normal1"/>
              <w:shd w:val="clear" w:fill="FFFFFF"/>
              <w:jc w:val="both"/>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numPr>
                <w:ilvl w:val="0"/>
                <w:numId w:val="7"/>
              </w:numPr>
              <w:shd w:val="clear" w:fill="FFFFFF"/>
              <w:tabs>
                <w:tab w:val="clear" w:pos="720"/>
                <w:tab w:val="left" w:pos="0" w:leader="none"/>
              </w:tabs>
              <w:ind w:hanging="0" w:lef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 </w:t>
            </w:r>
            <w:r>
              <w:rPr>
                <w:rFonts w:eastAsia="Arial" w:cs="Arial" w:ascii="Arial" w:hAnsi="Arial"/>
                <w:b/>
                <w:color w:val="000000"/>
                <w:position w:val="0"/>
                <w:sz w:val="20"/>
                <w:sz w:val="20"/>
                <w:szCs w:val="20"/>
                <w:vertAlign w:val="baseline"/>
              </w:rPr>
              <w:t>E-mail:</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yellow"/>
                <w:vertAlign w:val="baseline"/>
              </w:rPr>
              <w:t>XXXXXXX</w:t>
            </w:r>
          </w:p>
          <w:p>
            <w:pPr>
              <w:pStyle w:val="Normal1"/>
              <w:numPr>
                <w:ilvl w:val="0"/>
                <w:numId w:val="7"/>
              </w:numPr>
              <w:shd w:val="clear" w:fill="FFFFFF"/>
              <w:tabs>
                <w:tab w:val="clear" w:pos="720"/>
                <w:tab w:val="left" w:pos="0" w:leader="none"/>
              </w:tabs>
              <w:ind w:hanging="0" w:lef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 </w:t>
            </w:r>
            <w:r>
              <w:rPr>
                <w:rFonts w:eastAsia="Arial" w:cs="Arial" w:ascii="Arial" w:hAnsi="Arial"/>
                <w:b/>
                <w:color w:val="000000"/>
                <w:position w:val="0"/>
                <w:sz w:val="20"/>
                <w:sz w:val="20"/>
                <w:szCs w:val="20"/>
                <w:vertAlign w:val="baseline"/>
              </w:rPr>
              <w:t>Telefones:</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yellow"/>
                <w:vertAlign w:val="baseline"/>
              </w:rPr>
              <w:t>(XX) XXXX-XXXX</w:t>
            </w:r>
          </w:p>
          <w:p>
            <w:pPr>
              <w:pStyle w:val="Normal1"/>
              <w:numPr>
                <w:ilvl w:val="0"/>
                <w:numId w:val="7"/>
              </w:numPr>
              <w:shd w:val="clear" w:fill="FFFFFF"/>
              <w:tabs>
                <w:tab w:val="clear" w:pos="720"/>
                <w:tab w:val="left" w:pos="0" w:leader="none"/>
              </w:tabs>
              <w:ind w:hanging="0" w:left="0"/>
              <w:jc w:val="both"/>
              <w:rPr>
                <w:rFonts w:ascii="Arial" w:hAnsi="Arial" w:eastAsia="Arial" w:cs="Arial"/>
                <w:position w:val="0"/>
                <w:sz w:val="24"/>
                <w:sz w:val="24"/>
                <w:vertAlign w:val="baseline"/>
              </w:rPr>
            </w:pPr>
            <w:r>
              <w:rPr>
                <w:rFonts w:eastAsia="Arial" w:cs="Arial" w:ascii="Arial" w:hAnsi="Arial"/>
                <w:b/>
                <w:color w:val="000000"/>
                <w:position w:val="0"/>
                <w:sz w:val="20"/>
                <w:sz w:val="20"/>
                <w:szCs w:val="20"/>
                <w:vertAlign w:val="baseline"/>
              </w:rPr>
              <w:t xml:space="preserve"> </w:t>
            </w:r>
            <w:r>
              <w:rPr>
                <w:rFonts w:eastAsia="Arial" w:cs="Arial" w:ascii="Arial" w:hAnsi="Arial"/>
                <w:b/>
                <w:color w:val="000000"/>
                <w:position w:val="0"/>
                <w:sz w:val="20"/>
                <w:sz w:val="20"/>
                <w:szCs w:val="20"/>
                <w:vertAlign w:val="baseline"/>
              </w:rPr>
              <w:t>Endereço:</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yellow"/>
                <w:vertAlign w:val="baseline"/>
              </w:rPr>
              <w:t>XXXX, XXX</w:t>
            </w:r>
            <w:r>
              <w:rPr>
                <w:rFonts w:eastAsia="Arial" w:cs="Arial" w:ascii="Arial" w:hAnsi="Arial"/>
                <w:color w:val="000000"/>
                <w:position w:val="0"/>
                <w:sz w:val="20"/>
                <w:sz w:val="20"/>
                <w:szCs w:val="20"/>
                <w:vertAlign w:val="baseline"/>
              </w:rPr>
              <w:t xml:space="preserve"> – CEP </w:t>
            </w:r>
            <w:r>
              <w:rPr>
                <w:rFonts w:eastAsia="Arial" w:cs="Arial" w:ascii="Arial" w:hAnsi="Arial"/>
                <w:color w:val="000000"/>
                <w:position w:val="0"/>
                <w:sz w:val="20"/>
                <w:sz w:val="20"/>
                <w:szCs w:val="20"/>
                <w:highlight w:val="yellow"/>
                <w:vertAlign w:val="baseline"/>
              </w:rPr>
              <w:t>XX.XXX-XXX</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yellow"/>
                <w:vertAlign w:val="baseline"/>
              </w:rPr>
              <w:t>Cidade</w:t>
            </w:r>
            <w:r>
              <w:rPr>
                <w:rFonts w:eastAsia="Arial" w:cs="Arial" w:ascii="Arial" w:hAnsi="Arial"/>
                <w:color w:val="000000"/>
                <w:position w:val="0"/>
                <w:sz w:val="20"/>
                <w:sz w:val="20"/>
                <w:szCs w:val="20"/>
                <w:vertAlign w:val="baseline"/>
              </w:rPr>
              <w:t xml:space="preserve"> / Paraná</w:t>
            </w:r>
          </w:p>
          <w:p>
            <w:pPr>
              <w:pStyle w:val="Normal1"/>
              <w:numPr>
                <w:ilvl w:val="0"/>
                <w:numId w:val="7"/>
              </w:numPr>
              <w:shd w:val="clear" w:fill="FFFFFF"/>
              <w:tabs>
                <w:tab w:val="clear" w:pos="720"/>
                <w:tab w:val="left" w:pos="0" w:leader="none"/>
              </w:tabs>
              <w:ind w:hanging="0" w:left="0"/>
              <w:jc w:val="both"/>
              <w:rPr>
                <w:position w:val="0"/>
                <w:sz w:val="24"/>
                <w:sz w:val="24"/>
                <w:vertAlign w:val="baseline"/>
              </w:rPr>
            </w:pPr>
            <w:r>
              <w:rPr>
                <w:rFonts w:eastAsia="Arial" w:cs="Arial" w:ascii="Arial" w:hAnsi="Arial"/>
                <w:position w:val="0"/>
                <w:sz w:val="24"/>
                <w:sz w:val="24"/>
                <w:vertAlign w:val="baseline"/>
              </w:rPr>
              <w:t xml:space="preserve"> </w:t>
            </w:r>
            <w:r>
              <w:rPr>
                <w:rFonts w:eastAsia="Arial" w:cs="Arial" w:ascii="Arial" w:hAnsi="Arial"/>
                <w:b/>
                <w:color w:val="000000"/>
                <w:position w:val="0"/>
                <w:sz w:val="20"/>
                <w:sz w:val="20"/>
                <w:szCs w:val="20"/>
                <w:highlight w:val="white"/>
                <w:vertAlign w:val="baseline"/>
              </w:rPr>
              <w:t>O atendimento será feito no horário das 08h30min às 12 h e das 13h30min às 18h.</w:t>
            </w:r>
          </w:p>
        </w:tc>
      </w:tr>
    </w:tbl>
    <w:p>
      <w:pPr>
        <w:pStyle w:val="Normal1"/>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8"/>
        <w:tblW w:w="9183" w:type="dxa"/>
        <w:jc w:val="left"/>
        <w:tblInd w:w="-55" w:type="dxa"/>
        <w:tblLayout w:type="fixed"/>
        <w:tblCellMar>
          <w:top w:w="0" w:type="dxa"/>
          <w:left w:w="108" w:type="dxa"/>
          <w:bottom w:w="0" w:type="dxa"/>
          <w:right w:w="108" w:type="dxa"/>
        </w:tblCellMar>
        <w:tblLook w:val="0000"/>
      </w:tblPr>
      <w:tblGrid>
        <w:gridCol w:w="9183"/>
      </w:tblGrid>
      <w:tr>
        <w:trPr/>
        <w:tc>
          <w:tcPr>
            <w:tcW w:w="9183"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0"/>
              <w:ind w:hanging="0" w:left="0" w:right="0"/>
              <w:jc w:val="both"/>
              <w:rPr>
                <w:rFonts w:ascii="Liberation Serif" w:hAnsi="Liberation Serif" w:eastAsia="Liberation Serif" w:cs="Liberation Serif"/>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val="false"/>
              <w:shd w:val="clear" w:fill="FFFF00"/>
              <w:tabs>
                <w:tab w:val="left" w:pos="720" w:leader="none"/>
              </w:tabs>
              <w:spacing w:lineRule="auto" w:line="240" w:before="240"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sistema eletrônico poderá ser alterado pelo Órgão/Entidade Estadual.</w:t>
            </w:r>
          </w:p>
          <w:p>
            <w:pPr>
              <w:pStyle w:val="Normal1"/>
              <w:keepNext w:val="false"/>
              <w:keepLines w:val="false"/>
              <w:widowControl/>
              <w:shd w:val="clear" w:fill="FFFF00"/>
              <w:tabs>
                <w:tab w:val="left" w:pos="720" w:leader="none"/>
              </w:tabs>
              <w:spacing w:lineRule="auto" w:line="240" w:before="240" w:after="0"/>
              <w:ind w:hanging="0" w:left="0"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Assim, o endereço eletrônico para recebimento e abertura de propostas </w:t>
            </w:r>
            <w:hyperlink r:id="rId5">
              <w:r>
                <w:rPr>
                  <w:rStyle w:val="ListLabel112"/>
                  <w:rFonts w:eastAsia="Arial" w:cs="Arial" w:ascii="Arial" w:hAnsi="Arial"/>
                  <w:b/>
                  <w:i w:val="false"/>
                  <w:caps w:val="false"/>
                  <w:smallCaps w:val="false"/>
                  <w:strike w:val="false"/>
                  <w:dstrike w:val="false"/>
                  <w:color w:val="000080"/>
                  <w:position w:val="0"/>
                  <w:sz w:val="20"/>
                  <w:sz w:val="20"/>
                  <w:szCs w:val="20"/>
                  <w:u w:val="single"/>
                  <w:shd w:fill="auto" w:val="clear"/>
                  <w:vertAlign w:val="baseline"/>
                </w:rPr>
                <w:t>[</w:t>
              </w:r>
            </w:hyperlink>
            <w:r>
              <w:rPr>
                <w:rFonts w:eastAsia="Arial" w:cs="Arial" w:ascii="Arial" w:hAnsi="Arial"/>
                <w:b/>
                <w:i w:val="false"/>
                <w:caps w:val="false"/>
                <w:smallCaps w:val="false"/>
                <w:strike w:val="false"/>
                <w:dstrike w:val="false"/>
                <w:color w:val="000080"/>
                <w:position w:val="0"/>
                <w:sz w:val="20"/>
                <w:sz w:val="20"/>
                <w:szCs w:val="20"/>
                <w:u w:val="single"/>
                <w:shd w:fill="auto" w:val="clear"/>
                <w:vertAlign w:val="baseline"/>
              </w:rPr>
              <w:t>XXXXXXXXXX]</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pode ser adequado de acordo com o sistema adotado pelo Órgão/Entidade Estadual.</w:t>
            </w:r>
          </w:p>
        </w:tc>
      </w:tr>
    </w:tbl>
    <w:p>
      <w:pPr>
        <w:pStyle w:val="Normal1"/>
        <w:rPr>
          <w:position w:val="0"/>
          <w:sz w:val="24"/>
          <w:sz w:val="24"/>
          <w:vertAlign w:val="baseline"/>
        </w:rPr>
      </w:pPr>
      <w:r>
        <w:rPr>
          <w:position w:val="0"/>
          <w:sz w:val="24"/>
          <w:sz w:val="24"/>
          <w:vertAlign w:val="baseline"/>
        </w:rPr>
      </w:r>
    </w:p>
    <w:tbl>
      <w:tblPr>
        <w:tblStyle w:val="Table9"/>
        <w:tblW w:w="9254" w:type="dxa"/>
        <w:jc w:val="left"/>
        <w:tblInd w:w="-55" w:type="dxa"/>
        <w:tblLayout w:type="fixed"/>
        <w:tblCellMar>
          <w:top w:w="0" w:type="dxa"/>
          <w:left w:w="108" w:type="dxa"/>
          <w:bottom w:w="0" w:type="dxa"/>
          <w:right w:w="108" w:type="dxa"/>
        </w:tblCellMar>
        <w:tblLook w:val="0000"/>
      </w:tblPr>
      <w:tblGrid>
        <w:gridCol w:w="9254"/>
      </w:tblGrid>
      <w:tr>
        <w:trPr/>
        <w:tc>
          <w:tcPr>
            <w:tcW w:w="9254"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5 ESCLARECIMENTOS, IMPUGNAÇÕES E RECURSOS:</w:t>
            </w:r>
          </w:p>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5.1 ESCLARECIMENTOS E IMPUGNAÇÕES:</w:t>
            </w:r>
          </w:p>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color w:val="000000"/>
                <w:position w:val="0"/>
                <w:sz w:val="20"/>
                <w:sz w:val="20"/>
                <w:szCs w:val="20"/>
                <w:vertAlign w:val="baseline"/>
              </w:rPr>
              <w:t xml:space="preserve">Qualquer pessoa é parte legítima para impugnar edital de licitação por irregularidade na aplicação da Lei Federal n.º 14.133, de 2021 e do Decreto n.º 10.086, de 2022, ou para solicitar esclarecimentos e providências sobre os seus termos, devendo protocolar o pedido, no prazo de até 3 (três) dias úteis antes da data de abertura do certame, em campo específico no </w:t>
            </w:r>
            <w:r>
              <w:rPr>
                <w:rFonts w:eastAsia="Arial" w:cs="Arial" w:ascii="Arial" w:hAnsi="Arial"/>
                <w:color w:val="000000"/>
                <w:position w:val="0"/>
                <w:sz w:val="20"/>
                <w:sz w:val="20"/>
                <w:szCs w:val="20"/>
                <w:highlight w:val="white"/>
                <w:vertAlign w:val="baseline"/>
              </w:rPr>
              <w:t xml:space="preserve">sítio eletrônico </w:t>
            </w:r>
            <w:r>
              <w:rPr>
                <w:rFonts w:eastAsia="Arial" w:cs="Arial" w:ascii="Arial" w:hAnsi="Arial"/>
                <w:color w:val="000000"/>
                <w:position w:val="0"/>
                <w:sz w:val="20"/>
                <w:sz w:val="20"/>
                <w:szCs w:val="20"/>
                <w:highlight w:val="yellow"/>
                <w:vertAlign w:val="baseline"/>
              </w:rPr>
              <w:t>[XXXXXXXXXXX]</w:t>
            </w:r>
            <w:r>
              <w:rPr>
                <w:rFonts w:eastAsia="Arial" w:cs="Arial" w:ascii="Arial" w:hAnsi="Arial"/>
                <w:color w:val="000000"/>
                <w:position w:val="0"/>
                <w:sz w:val="20"/>
                <w:sz w:val="20"/>
                <w:szCs w:val="20"/>
                <w:vertAlign w:val="baseline"/>
              </w:rPr>
              <w:t xml:space="preserve"> pelo qual serão respondidos os esclarecimentos solicitados, no prazo de até 3 (três) dias úteis, limitado ao último dia útil anterior à data da abertura do certame.</w:t>
            </w:r>
          </w:p>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ind w:hanging="27" w:left="55" w:right="0"/>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5.2 RECURSOS E CONTRARRAZÕES:</w:t>
            </w:r>
          </w:p>
          <w:p>
            <w:pPr>
              <w:pStyle w:val="Normal1"/>
              <w:shd w:val="clear" w:fill="FFFFFF"/>
              <w:ind w:hanging="27" w:left="55" w:right="0"/>
              <w:jc w:val="both"/>
              <w:rPr>
                <w:rFonts w:ascii="Arial" w:hAnsi="Arial" w:eastAsia="Arial" w:cs="Arial"/>
                <w:position w:val="0"/>
                <w:sz w:val="20"/>
                <w:sz w:val="20"/>
                <w:szCs w:val="20"/>
                <w:vertAlign w:val="baseline"/>
              </w:rPr>
            </w:pPr>
            <w:r>
              <w:rPr>
                <w:rFonts w:eastAsia="Arial" w:cs="Arial" w:ascii="Arial" w:hAnsi="Arial"/>
                <w:color w:val="000000"/>
                <w:position w:val="0"/>
                <w:sz w:val="20"/>
                <w:sz w:val="20"/>
                <w:szCs w:val="20"/>
                <w:vertAlign w:val="baseline"/>
              </w:rPr>
              <w:t>As razões de recurso e as contrarrazões poderão ser enviadas exclusivamente por meio eletrônico, observando as regras dispostas no</w:t>
            </w:r>
            <w:r>
              <w:rPr>
                <w:rFonts w:eastAsia="Arial" w:cs="Arial" w:ascii="Arial" w:hAnsi="Arial"/>
                <w:position w:val="0"/>
                <w:sz w:val="20"/>
                <w:sz w:val="20"/>
                <w:szCs w:val="20"/>
                <w:vertAlign w:val="baseline"/>
              </w:rPr>
              <w:t xml:space="preserve"> item 9 das Condições Gerais de</w:t>
            </w:r>
            <w:r>
              <w:rPr>
                <w:rFonts w:eastAsia="Arial" w:cs="Arial" w:ascii="Arial" w:hAnsi="Arial"/>
                <w:color w:val="000000"/>
                <w:position w:val="0"/>
                <w:sz w:val="20"/>
                <w:sz w:val="20"/>
                <w:szCs w:val="20"/>
                <w:vertAlign w:val="baseline"/>
              </w:rPr>
              <w:t>ste Edital;</w:t>
            </w:r>
          </w:p>
          <w:p>
            <w:pPr>
              <w:pStyle w:val="Normal1"/>
              <w:shd w:val="clear" w:fill="FFFFFF"/>
              <w:ind w:hanging="27" w:left="55"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ind w:hanging="27" w:left="55" w:right="0"/>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5.3 DISPONIBILIDADE DOS AUTOS:</w:t>
            </w:r>
          </w:p>
          <w:p>
            <w:pPr>
              <w:pStyle w:val="Normal1"/>
              <w:shd w:val="clear" w:fill="FFFFFF"/>
              <w:ind w:hanging="27" w:left="55" w:right="0"/>
              <w:jc w:val="both"/>
              <w:rPr>
                <w:position w:val="0"/>
                <w:sz w:val="24"/>
                <w:sz w:val="24"/>
                <w:vertAlign w:val="baseline"/>
              </w:rPr>
            </w:pPr>
            <w:r>
              <w:rPr>
                <w:rFonts w:eastAsia="Arial" w:cs="Arial" w:ascii="Arial" w:hAnsi="Arial"/>
                <w:color w:val="000000"/>
                <w:position w:val="0"/>
                <w:sz w:val="20"/>
                <w:sz w:val="20"/>
                <w:szCs w:val="20"/>
                <w:vertAlign w:val="baseline"/>
              </w:rPr>
              <w:t xml:space="preserve">No curso da licitação, os autos do processo licitatório estarão à disposição dos interessados no sistema E-Protocolo no site </w:t>
            </w:r>
            <w:hyperlink r:id="rId6">
              <w:r>
                <w:rPr>
                  <w:rStyle w:val="ListLabel113"/>
                  <w:color w:val="000080"/>
                  <w:position w:val="0"/>
                  <w:sz w:val="24"/>
                  <w:sz w:val="24"/>
                  <w:u w:val="single"/>
                  <w:vertAlign w:val="baseline"/>
                </w:rPr>
                <w:t>https://www.e-protocolo.pr.gov.br</w:t>
              </w:r>
            </w:hyperlink>
            <w:r>
              <w:rPr>
                <w:rFonts w:eastAsia="Arial" w:cs="Arial" w:ascii="Arial" w:hAnsi="Arial"/>
                <w:color w:val="000000"/>
                <w:position w:val="0"/>
                <w:sz w:val="20"/>
                <w:sz w:val="20"/>
                <w:szCs w:val="20"/>
                <w:vertAlign w:val="baseline"/>
              </w:rPr>
              <w:t>, devendo os interessados apresentarem requisição de acesso ao protocolo via sistema.</w:t>
            </w:r>
          </w:p>
          <w:p>
            <w:pPr>
              <w:pStyle w:val="Normal1"/>
              <w:shd w:val="clear" w:fill="FFFFFF"/>
              <w:ind w:hanging="27" w:left="55" w:right="0"/>
              <w:jc w:val="both"/>
              <w:rPr>
                <w:position w:val="0"/>
                <w:sz w:val="24"/>
                <w:sz w:val="24"/>
                <w:vertAlign w:val="baseline"/>
              </w:rPr>
            </w:pPr>
            <w:r>
              <w:rPr>
                <w:position w:val="0"/>
                <w:sz w:val="24"/>
                <w:sz w:val="24"/>
                <w:vertAlign w:val="baseline"/>
              </w:rPr>
            </w:r>
          </w:p>
        </w:tc>
      </w:tr>
    </w:tbl>
    <w:p>
      <w:pPr>
        <w:pStyle w:val="Normal1"/>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10"/>
        <w:tblW w:w="9263" w:type="dxa"/>
        <w:jc w:val="left"/>
        <w:tblInd w:w="-55" w:type="dxa"/>
        <w:tblLayout w:type="fixed"/>
        <w:tblCellMar>
          <w:top w:w="0" w:type="dxa"/>
          <w:left w:w="108" w:type="dxa"/>
          <w:bottom w:w="0" w:type="dxa"/>
          <w:right w:w="108" w:type="dxa"/>
        </w:tblCellMar>
        <w:tblLook w:val="0000"/>
      </w:tblPr>
      <w:tblGrid>
        <w:gridCol w:w="9263"/>
      </w:tblGrid>
      <w:tr>
        <w:trPr/>
        <w:tc>
          <w:tcPr>
            <w:tcW w:w="9263"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6 CONDIÇÕES DA LICITAÇÃO:</w:t>
            </w:r>
          </w:p>
          <w:p>
            <w:pPr>
              <w:pStyle w:val="Normal1"/>
              <w:shd w:val="clear" w:fill="FFFFFF"/>
              <w:ind w:right="-1"/>
              <w:jc w:val="both"/>
              <w:rPr>
                <w:rFonts w:ascii="Arial" w:hAnsi="Arial" w:eastAsia="Arial" w:cs="Arial"/>
                <w:b/>
                <w:color w:val="000000"/>
                <w:position w:val="0"/>
                <w:sz w:val="20"/>
                <w:sz w:val="20"/>
                <w:szCs w:val="20"/>
                <w:highlight w:val="white"/>
                <w:vertAlign w:val="baseline"/>
              </w:rPr>
            </w:pPr>
            <w:r>
              <w:rPr>
                <w:rFonts w:eastAsia="Arial" w:cs="Arial" w:ascii="Arial" w:hAnsi="Arial"/>
                <w:b/>
                <w:position w:val="0"/>
                <w:sz w:val="20"/>
                <w:sz w:val="20"/>
                <w:szCs w:val="20"/>
                <w:highlight w:val="white"/>
                <w:vertAlign w:val="baseline"/>
              </w:rPr>
              <w:t>6.1</w:t>
            </w:r>
            <w:r>
              <w:rPr>
                <w:rFonts w:eastAsia="Arial" w:cs="Arial" w:ascii="Arial" w:hAnsi="Arial"/>
                <w:position w:val="0"/>
                <w:sz w:val="20"/>
                <w:sz w:val="20"/>
                <w:szCs w:val="20"/>
                <w:highlight w:val="white"/>
                <w:vertAlign w:val="baseline"/>
              </w:rPr>
              <w:t xml:space="preserve"> A licitação e a contratação dela decorrente são reguladas pelas condições específicas e gerais do pregão e pelo disposto nos demais anexos do edital.</w:t>
            </w:r>
          </w:p>
          <w:p>
            <w:pPr>
              <w:pStyle w:val="Normal1"/>
              <w:shd w:val="clear" w:fill="FFFFFF"/>
              <w:spacing w:lineRule="auto" w:line="240" w:before="57" w:after="0"/>
              <w:ind w:right="-1"/>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highlight w:val="white"/>
                <w:vertAlign w:val="baseline"/>
              </w:rPr>
              <w:t>6.2</w:t>
            </w:r>
            <w:r>
              <w:rPr>
                <w:rFonts w:eastAsia="Arial" w:cs="Arial" w:ascii="Arial" w:hAnsi="Arial"/>
                <w:color w:val="000000"/>
                <w:position w:val="0"/>
                <w:sz w:val="20"/>
                <w:sz w:val="20"/>
                <w:szCs w:val="20"/>
                <w:highlight w:val="white"/>
                <w:vertAlign w:val="baseline"/>
              </w:rPr>
              <w:t xml:space="preserve"> A licitação será regida pela Lei Federal n.º 14.133, de 2021, pelo Decreto n.º 10.086, de 2022, pela Lei Complementar Federal n.º 123, de 2006, bem como as suas devidas alterações.</w:t>
            </w:r>
          </w:p>
          <w:p>
            <w:pPr>
              <w:pStyle w:val="Normal1"/>
              <w:shd w:val="clear" w:fill="FFFFFF"/>
              <w:spacing w:lineRule="auto" w:line="240" w:before="57"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11"/>
        <w:tblW w:w="9200" w:type="dxa"/>
        <w:jc w:val="left"/>
        <w:tblInd w:w="-55" w:type="dxa"/>
        <w:tblLayout w:type="fixed"/>
        <w:tblCellMar>
          <w:top w:w="0" w:type="dxa"/>
          <w:left w:w="108" w:type="dxa"/>
          <w:bottom w:w="0" w:type="dxa"/>
          <w:right w:w="108" w:type="dxa"/>
        </w:tblCellMar>
        <w:tblLook w:val="0000"/>
      </w:tblPr>
      <w:tblGrid>
        <w:gridCol w:w="9200"/>
      </w:tblGrid>
      <w:tr>
        <w:trPr/>
        <w:tc>
          <w:tcPr>
            <w:tcW w:w="9200"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4</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57" w:after="57"/>
              <w:ind w:hanging="0" w:left="0"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É expressamente vedada a aplicação combinada da Lei Federal n.º 14.133/2021 com as citadas no inciso II do Caput do art. 193 da Lei Federal n.º 14.133/2021 (a Lei nº 8.666, de 21 de junho de 1993, a Lei nº 10.520, de 17 de julho de 2002, e os arts. 1º a 47-A da Lei nº 12.462, de 4 de agosto de 2011) e com a Lei n.º 15.608/2007.</w:t>
            </w:r>
          </w:p>
        </w:tc>
      </w:tr>
    </w:tbl>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12"/>
        <w:tblW w:w="9263" w:type="dxa"/>
        <w:jc w:val="left"/>
        <w:tblInd w:w="-55" w:type="dxa"/>
        <w:tblLayout w:type="fixed"/>
        <w:tblCellMar>
          <w:top w:w="0" w:type="dxa"/>
          <w:left w:w="108" w:type="dxa"/>
          <w:bottom w:w="0" w:type="dxa"/>
          <w:right w:w="108" w:type="dxa"/>
        </w:tblCellMar>
        <w:tblLook w:val="0000"/>
      </w:tblPr>
      <w:tblGrid>
        <w:gridCol w:w="9263"/>
      </w:tblGrid>
      <w:tr>
        <w:trPr/>
        <w:tc>
          <w:tcPr>
            <w:tcW w:w="9263"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7 DOCUMENTOS INSTRUTORES DA LICITAÇÃO</w:t>
            </w:r>
          </w:p>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7.</w:t>
            </w:r>
            <w:r>
              <w:rPr>
                <w:rFonts w:eastAsia="Arial" w:cs="Arial" w:ascii="Arial" w:hAnsi="Arial"/>
                <w:position w:val="0"/>
                <w:sz w:val="20"/>
                <w:sz w:val="20"/>
                <w:szCs w:val="20"/>
                <w:vertAlign w:val="baseline"/>
              </w:rPr>
              <w:t>1</w:t>
            </w:r>
            <w:r>
              <w:rPr>
                <w:rFonts w:eastAsia="Arial" w:cs="Arial" w:ascii="Arial" w:hAnsi="Arial"/>
                <w:position w:val="0"/>
                <w:sz w:val="20"/>
                <w:sz w:val="20"/>
                <w:szCs w:val="20"/>
                <w:highlight w:val="white"/>
                <w:vertAlign w:val="baseline"/>
              </w:rPr>
              <w:t xml:space="preserve"> Os documentos que instruem esta licitação são os seguintes:</w:t>
            </w:r>
          </w:p>
          <w:p>
            <w:pPr>
              <w:pStyle w:val="Normal1"/>
              <w:widowControl w:val="false"/>
              <w:tabs>
                <w:tab w:val="clear" w:pos="720"/>
                <w:tab w:val="left" w:pos="1106" w:leader="none"/>
              </w:tabs>
              <w:spacing w:lineRule="auto" w:line="240" w:before="57" w:after="0"/>
              <w:ind w:hanging="0" w:left="39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7.1.1. Edital;</w:t>
            </w:r>
          </w:p>
          <w:p>
            <w:pPr>
              <w:pStyle w:val="Normal1"/>
              <w:widowControl w:val="false"/>
              <w:tabs>
                <w:tab w:val="clear" w:pos="720"/>
                <w:tab w:val="left" w:pos="1106" w:leader="none"/>
              </w:tabs>
              <w:spacing w:lineRule="auto" w:line="240" w:before="57" w:after="0"/>
              <w:ind w:hanging="0" w:left="39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7.1.2 Anexos;</w:t>
            </w:r>
          </w:p>
          <w:p>
            <w:pPr>
              <w:pStyle w:val="Normal1"/>
              <w:widowControl w:val="false"/>
              <w:tabs>
                <w:tab w:val="clear" w:pos="720"/>
                <w:tab w:val="left" w:pos="1106" w:leader="none"/>
              </w:tabs>
              <w:spacing w:lineRule="auto" w:line="240" w:before="57" w:after="0"/>
              <w:ind w:hanging="0" w:left="39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7.1.3 Elementos Técnicos Instrutores.</w:t>
            </w:r>
          </w:p>
          <w:p>
            <w:pPr>
              <w:pStyle w:val="Normal1"/>
              <w:widowControl w:val="false"/>
              <w:tabs>
                <w:tab w:val="clear" w:pos="720"/>
                <w:tab w:val="left" w:pos="567" w:leader="none"/>
              </w:tabs>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white"/>
                <w:vertAlign w:val="baseline"/>
              </w:rPr>
              <w:t>7.2 Para esta licitação serão usadas as seguintes siglas:</w:t>
            </w:r>
          </w:p>
          <w:tbl>
            <w:tblPr>
              <w:tblStyle w:val="Table13"/>
              <w:tblW w:w="9377" w:type="dxa"/>
              <w:jc w:val="left"/>
              <w:tblInd w:w="0" w:type="dxa"/>
              <w:tblLayout w:type="fixed"/>
              <w:tblCellMar>
                <w:top w:w="0" w:type="dxa"/>
                <w:left w:w="108" w:type="dxa"/>
                <w:bottom w:w="0" w:type="dxa"/>
                <w:right w:w="108" w:type="dxa"/>
              </w:tblCellMar>
              <w:tblLook w:val="0000"/>
            </w:tblPr>
            <w:tblGrid>
              <w:gridCol w:w="2001"/>
              <w:gridCol w:w="7375"/>
            </w:tblGrid>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yellow"/>
                      <w:vertAlign w:val="baseline"/>
                    </w:rPr>
                    <w:t>XXX</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yellow"/>
                      <w:vertAlign w:val="baseline"/>
                    </w:rPr>
                    <w:t>Nome do órgão ou entidade demandante do serviço de engenharia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PRED</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Paraná Edificações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ABNT</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Associação Brasileira de Normas Técnicas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ART</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Anotação de Responsabilidade Técnica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CAT</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Certidão de Acervo Técnico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CAU</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Conselho de Arquitetura e Urbanismo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CLE</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Cadastro de Licitantes do Estado (do Paraná)</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CLT</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Consolidação das Leis do Trabalho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CND</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Certidão Negativa de Débito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CNPJ</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Cadastro Nacional de Pessoa Jurídica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COFINS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Contribuição para Financiamento da Seguridade Social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CONAMA</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Conselho Nacional do Meio Ambiente</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CONFEA</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Conselho Federal de Engenharia e Agronomia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CPF</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Cadastro de Pessoa Física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CRC</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Conselho Regional de Contabilidade</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CREA</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Conselho Regional de Engenharia e Agronomia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CRF</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Certificado de Regularidade do FGTS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CSSL</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Contribuição Social sobre o Lucro Líquido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DECON</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Departamento de Logística para Contratações Públicas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DRT</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Delegacia Regional do Trabalho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EPP</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Empresa de Pequeno Porte</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FGTS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Fundo de Garantia por Tempo de Serviço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FGV</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Fundação Getúlio Vargas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GCO</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Gerência de Custo e Orçamentos da Paraná Edificações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GFIP</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Guia de FGTS e Informações à Previdência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GFS</w:t>
                  </w:r>
                </w:p>
              </w:tc>
              <w:tc>
                <w:tcPr>
                  <w:tcW w:w="7375" w:type="dxa"/>
                  <w:tcBorders/>
                  <w:shd w:fill="auto" w:val="clear"/>
                </w:tcPr>
                <w:p>
                  <w:pPr>
                    <w:pStyle w:val="Normal1"/>
                    <w:widowControl w:val="false"/>
                    <w:shd w:val="clear" w:fill="FFFFFF"/>
                    <w:spacing w:lineRule="auto" w:line="240" w:before="57" w:after="0"/>
                    <w:jc w:val="left"/>
                    <w:rPr>
                      <w:position w:val="0"/>
                      <w:sz w:val="24"/>
                      <w:sz w:val="24"/>
                      <w:vertAlign w:val="baseline"/>
                    </w:rPr>
                  </w:pPr>
                  <w:r>
                    <w:rPr>
                      <w:rFonts w:eastAsia="Arial" w:cs="Arial" w:ascii="Arial" w:hAnsi="Arial"/>
                      <w:position w:val="0"/>
                      <w:sz w:val="20"/>
                      <w:sz w:val="20"/>
                      <w:szCs w:val="20"/>
                      <w:highlight w:val="white"/>
                      <w:vertAlign w:val="baseline"/>
                    </w:rPr>
                    <w:t>Grupo Financeiro Setorial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GLCC</w:t>
                  </w:r>
                </w:p>
              </w:tc>
              <w:tc>
                <w:tcPr>
                  <w:tcW w:w="7375" w:type="dxa"/>
                  <w:tcBorders/>
                  <w:shd w:fill="auto" w:val="clear"/>
                </w:tcPr>
                <w:p>
                  <w:pPr>
                    <w:pStyle w:val="Normal1"/>
                    <w:widowControl w:val="false"/>
                    <w:shd w:val="clear" w:fill="FFFFFF"/>
                    <w:spacing w:lineRule="auto" w:line="240" w:before="57" w:after="0"/>
                    <w:jc w:val="left"/>
                    <w:rPr>
                      <w:position w:val="0"/>
                      <w:sz w:val="24"/>
                      <w:sz w:val="24"/>
                      <w:vertAlign w:val="baseline"/>
                    </w:rPr>
                  </w:pPr>
                  <w:r>
                    <w:rPr>
                      <w:rFonts w:eastAsia="Arial" w:cs="Arial" w:ascii="Arial" w:hAnsi="Arial"/>
                      <w:position w:val="0"/>
                      <w:sz w:val="20"/>
                      <w:sz w:val="20"/>
                      <w:szCs w:val="20"/>
                      <w:highlight w:val="white"/>
                      <w:vertAlign w:val="baseline"/>
                    </w:rPr>
                    <w:t>Gerência de Licitações, Contratos e Convênios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GMS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Gestão de Materiais e Serviços (SEAP DEAM)</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GPR</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Gerência de Projetos da Paraná Edificações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GRC</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Guia de Recolhimento de Caução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GRPS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Guia de Recolhimento da Previdência Social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INSS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Instituto Nacional de Seguridade Social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IRB</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Instituto de Resseguros do Brasil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ISS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Imposto sobre Serviços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ME</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Microempresa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OS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Ordem de Serviço</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PIS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Programa de Integração Social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PNCP</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Portal Nacional de Contratações Públicas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PTG</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Protocolo Geral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REFIS</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Programa de Recuperação Fiscal</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RRT</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Registro de Responsabilidade Técnica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SEAP</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Secretaria da Administração e da Previdência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SEIL</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Secretaria de Infraestrutura e Logística</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SUSEP</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Superintendência de Seguros Privados</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TCE PR</w:t>
                  </w:r>
                </w:p>
              </w:tc>
              <w:tc>
                <w:tcPr>
                  <w:tcW w:w="7375" w:type="dxa"/>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Tribunal de Contas do Estado do Paraná</w:t>
                  </w:r>
                </w:p>
              </w:tc>
            </w:tr>
            <w:tr>
              <w:trPr/>
              <w:tc>
                <w:tcPr>
                  <w:tcW w:w="2001"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yellow"/>
                      <w:vertAlign w:val="baseline"/>
                    </w:rPr>
                    <w:t>Outras</w:t>
                  </w:r>
                </w:p>
              </w:tc>
              <w:tc>
                <w:tcPr>
                  <w:tcW w:w="7375" w:type="dxa"/>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68" w:hRule="atLeast"/>
                <w:cantSplit w:val="true"/>
              </w:trPr>
              <w:tc>
                <w:tcPr>
                  <w:tcW w:w="9376" w:type="dxa"/>
                  <w:gridSpan w:val="2"/>
                  <w:tcBorders/>
                  <w:shd w:fill="auto" w:val="clear"/>
                </w:tcPr>
                <w:p>
                  <w:pPr>
                    <w:pStyle w:val="Normal1"/>
                    <w:widowControl w:val="false"/>
                    <w:tabs>
                      <w:tab w:val="clear" w:pos="720"/>
                      <w:tab w:val="left" w:pos="1134" w:leader="none"/>
                    </w:tabs>
                    <w:spacing w:lineRule="auto" w:line="240" w:before="57" w:after="0"/>
                    <w:ind w:hanging="0"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702" w:leader="none"/>
              </w:tabs>
              <w:spacing w:lineRule="auto" w:line="240" w:before="57" w:after="0"/>
              <w:ind w:hanging="0" w:left="135"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567"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7.3</w:t>
            </w:r>
            <w:r>
              <w:rPr>
                <w:rFonts w:eastAsia="Arial" w:cs="Arial" w:ascii="Arial" w:hAnsi="Arial"/>
                <w:color w:val="000000"/>
                <w:position w:val="0"/>
                <w:sz w:val="20"/>
                <w:sz w:val="20"/>
                <w:szCs w:val="20"/>
                <w:highlight w:val="white"/>
                <w:vertAlign w:val="baseline"/>
              </w:rPr>
              <w:t xml:space="preserve"> Definições:</w:t>
            </w:r>
          </w:p>
          <w:p>
            <w:pPr>
              <w:pStyle w:val="Normal1"/>
              <w:widowControl w:val="false"/>
              <w:tabs>
                <w:tab w:val="clear" w:pos="720"/>
                <w:tab w:val="left" w:pos="567" w:leader="none"/>
              </w:tabs>
              <w:spacing w:lineRule="auto" w:line="240" w:before="57" w:after="0"/>
              <w:jc w:val="both"/>
              <w:rPr>
                <w:rFonts w:ascii="Arial" w:hAnsi="Arial" w:eastAsia="Arial" w:cs="Arial"/>
                <w:position w:val="0"/>
                <w:sz w:val="24"/>
                <w:sz w:val="24"/>
                <w:highlight w:val="white"/>
                <w:vertAlign w:val="baseline"/>
              </w:rPr>
            </w:pPr>
            <w:r>
              <w:rPr>
                <w:rFonts w:eastAsia="Arial" w:cs="Arial" w:ascii="Arial" w:hAnsi="Arial"/>
                <w:b/>
                <w:color w:val="000000"/>
                <w:position w:val="0"/>
                <w:sz w:val="20"/>
                <w:sz w:val="20"/>
                <w:szCs w:val="20"/>
                <w:vertAlign w:val="baseline"/>
              </w:rPr>
              <w:t>7.3.1</w:t>
            </w:r>
            <w:r>
              <w:rPr>
                <w:rFonts w:eastAsia="Arial" w:cs="Arial" w:ascii="Arial" w:hAnsi="Arial"/>
                <w:color w:val="000000"/>
                <w:position w:val="0"/>
                <w:sz w:val="20"/>
                <w:sz w:val="20"/>
                <w:szCs w:val="20"/>
                <w:vertAlign w:val="baseline"/>
              </w:rPr>
              <w:t xml:space="preserve"> Para esta licitação serão usadas as definições contidas no art. 6.º da Lei Federal n.º 14.133/2021 e no art. 2.º do Decreto Estadual n.º 10.086/2022.</w:t>
            </w:r>
          </w:p>
          <w:p>
            <w:pPr>
              <w:pStyle w:val="Normal1"/>
              <w:widowControl w:val="false"/>
              <w:tabs>
                <w:tab w:val="clear" w:pos="720"/>
                <w:tab w:val="left" w:pos="851" w:leader="none"/>
              </w:tabs>
              <w:spacing w:lineRule="auto" w:line="240" w:before="57" w:after="0"/>
              <w:jc w:val="both"/>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c>
      </w:tr>
    </w:tbl>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r>
        <w:br w:type="page"/>
      </w:r>
    </w:p>
    <w:p>
      <w:pPr>
        <w:pStyle w:val="Normal1"/>
        <w:spacing w:before="0" w:after="0"/>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p>
      <w:pPr>
        <w:pStyle w:val="Normal1"/>
        <w:shd w:val="clear" w:fill="FFFFFF"/>
        <w:ind w:right="-1"/>
        <w:jc w:val="center"/>
        <w:rPr>
          <w:rFonts w:ascii="Arial" w:hAnsi="Arial" w:eastAsia="Arial" w:cs="Arial"/>
          <w:position w:val="0"/>
          <w:sz w:val="24"/>
          <w:sz w:val="24"/>
          <w:highlight w:val="white"/>
          <w:vertAlign w:val="baseline"/>
        </w:rPr>
      </w:pPr>
      <w:r>
        <w:rPr>
          <w:rFonts w:eastAsia="Arial" w:cs="Arial" w:ascii="Arial" w:hAnsi="Arial"/>
          <w:b/>
          <w:position w:val="0"/>
          <w:sz w:val="28"/>
          <w:sz w:val="28"/>
          <w:szCs w:val="28"/>
          <w:highlight w:val="white"/>
          <w:u w:val="single"/>
          <w:vertAlign w:val="baseline"/>
        </w:rPr>
        <w:t>CONDIÇÕES ESPECÍFICAS DO PREGÃO</w:t>
      </w:r>
    </w:p>
    <w:p>
      <w:pPr>
        <w:pStyle w:val="Normal1"/>
        <w:shd w:val="clear" w:fill="FFFFFF"/>
        <w:ind w:right="-1"/>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14"/>
        <w:tblW w:w="9254" w:type="dxa"/>
        <w:jc w:val="left"/>
        <w:tblInd w:w="-55" w:type="dxa"/>
        <w:tblLayout w:type="fixed"/>
        <w:tblCellMar>
          <w:top w:w="0" w:type="dxa"/>
          <w:left w:w="108" w:type="dxa"/>
          <w:bottom w:w="0" w:type="dxa"/>
          <w:right w:w="108" w:type="dxa"/>
        </w:tblCellMar>
        <w:tblLook w:val="0000"/>
      </w:tblPr>
      <w:tblGrid>
        <w:gridCol w:w="9254"/>
      </w:tblGrid>
      <w:tr>
        <w:trPr/>
        <w:tc>
          <w:tcPr>
            <w:tcW w:w="9254"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position w:val="0"/>
                <w:sz w:val="24"/>
                <w:sz w:val="24"/>
                <w:vertAlign w:val="baseline"/>
              </w:rPr>
            </w:pPr>
            <w:r>
              <w:rPr>
                <w:rFonts w:eastAsia="Arial" w:cs="Arial" w:ascii="Arial" w:hAnsi="Arial"/>
                <w:b/>
                <w:position w:val="0"/>
                <w:sz w:val="20"/>
                <w:sz w:val="20"/>
                <w:szCs w:val="20"/>
                <w:highlight w:val="white"/>
                <w:vertAlign w:val="baseline"/>
              </w:rPr>
              <w:t>1 CRITÉRIO DE ACEITABILIDADE DE PREÇOS: PREÇO MÁXIMO</w:t>
            </w:r>
          </w:p>
          <w:p>
            <w:pPr>
              <w:pStyle w:val="Normal1"/>
              <w:shd w:val="clear" w:fill="FFFFFF"/>
              <w:ind w:right="-1"/>
              <w:jc w:val="both"/>
              <w:rPr>
                <w:position w:val="0"/>
                <w:sz w:val="24"/>
                <w:sz w:val="24"/>
                <w:vertAlign w:val="baseline"/>
              </w:rPr>
            </w:pPr>
            <w:r>
              <w:rPr>
                <w:position w:val="0"/>
                <w:sz w:val="24"/>
                <w:sz w:val="24"/>
                <w:vertAlign w:val="baseline"/>
              </w:rPr>
            </w:r>
          </w:p>
          <w:p>
            <w:pPr>
              <w:pStyle w:val="Normal1"/>
              <w:shd w:val="clear" w:fill="FFFFFF"/>
              <w:ind w:right="-1"/>
              <w:jc w:val="both"/>
              <w:rPr>
                <w:position w:val="0"/>
                <w:sz w:val="24"/>
                <w:sz w:val="24"/>
                <w:vertAlign w:val="baseline"/>
              </w:rPr>
            </w:pPr>
            <w:r>
              <w:rPr>
                <w:rFonts w:eastAsia="Arial" w:cs="Arial" w:ascii="Arial" w:hAnsi="Arial"/>
                <w:position w:val="0"/>
                <w:sz w:val="20"/>
                <w:sz w:val="20"/>
                <w:szCs w:val="20"/>
                <w:vertAlign w:val="baseline"/>
              </w:rPr>
              <w:t>Encerrada a fase de lances, após a negociação, serão desclassificadas as propostas que permanecerem acima dos valores unitários máximos e totais máximos fixados neste Edital.</w:t>
            </w:r>
          </w:p>
        </w:tc>
      </w:tr>
    </w:tbl>
    <w:p>
      <w:pPr>
        <w:pStyle w:val="Normal1"/>
        <w:shd w:val="clear" w:fill="FFFFFF"/>
        <w:ind w:right="-1"/>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15"/>
        <w:tblW w:w="9218" w:type="dxa"/>
        <w:jc w:val="left"/>
        <w:tblInd w:w="-55" w:type="dxa"/>
        <w:tblLayout w:type="fixed"/>
        <w:tblCellMar>
          <w:top w:w="0" w:type="dxa"/>
          <w:left w:w="108" w:type="dxa"/>
          <w:bottom w:w="0" w:type="dxa"/>
          <w:right w:w="108" w:type="dxa"/>
        </w:tblCellMar>
        <w:tblLook w:val="0000"/>
      </w:tblPr>
      <w:tblGrid>
        <w:gridCol w:w="9218"/>
      </w:tblGrid>
      <w:tr>
        <w:trPr/>
        <w:tc>
          <w:tcPr>
            <w:tcW w:w="9218"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2 CRITÉRIO DE JULGAMENTO DAS PROPOSTAS:</w:t>
            </w:r>
          </w:p>
          <w:tbl>
            <w:tblPr>
              <w:tblStyle w:val="Table16"/>
              <w:tblW w:w="8918" w:type="dxa"/>
              <w:jc w:val="left"/>
              <w:tblInd w:w="0" w:type="dxa"/>
              <w:tblLayout w:type="fixed"/>
              <w:tblCellMar>
                <w:top w:w="0" w:type="dxa"/>
                <w:left w:w="108" w:type="dxa"/>
                <w:bottom w:w="0" w:type="dxa"/>
                <w:right w:w="108" w:type="dxa"/>
              </w:tblCellMar>
              <w:tblLook w:val="0000"/>
            </w:tblPr>
            <w:tblGrid>
              <w:gridCol w:w="8918"/>
            </w:tblGrid>
            <w:tr>
              <w:trPr/>
              <w:tc>
                <w:tcPr>
                  <w:tcW w:w="8918"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5</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1 A Administração deverá adotar uma das formas de critério de aceitabilidade de preços e julgamento de propostas a seguir:</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A Administração deverá adequar a redação de acordo com o critério escolhido.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Obs. 2 Quando o lote for composto por item único: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fase de disputa, o critério de aceitabilidade de preços no sistema de compras eletrônicas é o valor unitário, fixado neste Edital.</w:t>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(salvo na hipótese de critério de maior desconto com possibilidade de lances negativo, conforme o previsto no § 3.º do Art. 81 do Decreto n.º 10.086/2022)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do(s) valor(es) unitário(s) máximo(s) do(s) lote(s), nesta fase, serão desclassificados”.</w:t>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(MENOR PREÇO OU MAIOR DESCONTO).</w:t>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darkGreen"/>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Encerrada a fase de lances, após a negociação, as propostas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do(s) lote(s), serão desclassificadas.”</w:t>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0"/>
                      <w:sz w:val="20"/>
                      <w:szCs w:val="20"/>
                      <w:highlight w:val="darkGreen"/>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darkGreen"/>
                      <w:u w:val="none"/>
                      <w:vertAlign w:val="baseline"/>
                    </w:rPr>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Quando o lote for composto por mais de um item:</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fase de disputa, o critério de aceitabilidade de preços no sistema de compras eletrônicas é o valor unitário, fixado neste Edital.</w:t>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2.1.1.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Os valores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e total(is) máximo(s) fixado(s) neste edital serão desclassificados.</w:t>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(MENOR PREÇO OU MAIOR DESCONTO).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Encerrada a fase de lances, após a negociação, as propostas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(salvo na hipótese de critério de maior desconto com possibilidade de lances negativo, conforme o previsto no § 3.º do Art. 81 do Decreto n.º 10.086/2022)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do(s) valor(es) unitário(s) máximo(s) e total(is) máximo(s) fixado(s) neste Edital serão desclassificadas.”</w:t>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Ou</w:t>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2.1.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 fase de disputa, o critério de aceitabilidade de preços no sistema de compras eletrônicas é o valor máximo global do lote, fixado neste Edital.</w:t>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valores que permanecerem acima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e total(is) máximo(s) fixado(s) neste Edital serão desclassificados”.</w:t>
                  </w:r>
                </w:p>
                <w:p>
                  <w:pPr>
                    <w:pStyle w:val="Normal1"/>
                    <w:keepNext w:val="false"/>
                    <w:keepLines w:val="false"/>
                    <w:widowControl/>
                    <w:shd w:val="clear" w:fill="FFFF00"/>
                    <w:spacing w:lineRule="auto" w:line="240" w:before="0" w:after="0"/>
                    <w:ind w:firstLine="9" w:left="-9"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(MENOR PREÇO OU MAIOR DESCONTO).</w:t>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Encerrada a fase de lances, após a negociação, as propostas que permanecerem acima</w:t>
                  </w:r>
                  <w:r>
                    <w:rPr>
                      <w:rFonts w:eastAsia="Arial" w:cs="Arial" w:ascii="Arial" w:hAnsi="Arial"/>
                      <w:b w:val="false"/>
                      <w:i w:val="false"/>
                      <w:caps w:val="false"/>
                      <w:smallCaps w:val="false"/>
                      <w:strike w:val="false"/>
                      <w:dstrike w:val="false"/>
                      <w:color w:val="C9211E"/>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C00000"/>
                      <w:position w:val="0"/>
                      <w:sz w:val="20"/>
                      <w:sz w:val="20"/>
                      <w:szCs w:val="20"/>
                      <w:u w:val="none"/>
                      <w:shd w:fill="auto" w:val="clear"/>
                      <w:vertAlign w:val="baseline"/>
                    </w:rPr>
                    <w:t xml:space="preserve">(salvo na hipótese de critério de maior desconto com possibilidade de lances negativo, conforme o previsto no § 3.º do Art. 81 do Decreto n.º 10.086/2022)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do(s) valor(es) unitário(s) máximo(s) e total(is) máximo(s) fixado(s) neste Edital serão desclassificadas.”</w:t>
                  </w:r>
                </w:p>
                <w:p>
                  <w:pPr>
                    <w:pStyle w:val="Normal1"/>
                    <w:keepNext w:val="false"/>
                    <w:keepLines w:val="false"/>
                    <w:widowControl/>
                    <w:shd w:val="clear" w:fill="FFFF00"/>
                    <w:spacing w:lineRule="auto" w:line="240" w:before="0" w:after="0"/>
                    <w:ind w:firstLine="9" w:left="-9"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0"/>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3 Quando o lote for composto por mais de um item, a Administração deve justificar o critério de disputa utilizado (soma dos valores unitários dos itens ou valor máximo global do lote), demonstrando que o escolhido é o mais vantajoso economicamente, visando evitar jogo de planilhas.</w:t>
                  </w:r>
                </w:p>
                <w:p>
                  <w:pPr>
                    <w:pStyle w:val="Normal1"/>
                    <w:shd w:val="clear" w:fill="FFFF00"/>
                    <w:ind w:right="-1"/>
                    <w:jc w:val="both"/>
                    <w:rPr>
                      <w:position w:val="0"/>
                      <w:sz w:val="24"/>
                      <w:sz w:val="24"/>
                      <w:vertAlign w:val="baseline"/>
                    </w:rPr>
                  </w:pPr>
                  <w:r>
                    <w:rPr>
                      <w:position w:val="0"/>
                      <w:sz w:val="24"/>
                      <w:sz w:val="24"/>
                      <w:vertAlign w:val="baseline"/>
                    </w:rPr>
                  </w:r>
                </w:p>
              </w:tc>
            </w:tr>
          </w:tbl>
          <w:p>
            <w:pPr>
              <w:pStyle w:val="Normal1"/>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shd w:val="clear" w:fill="FFFFFF"/>
        <w:ind w:right="-1"/>
        <w:rPr>
          <w:rFonts w:ascii="Arial" w:hAnsi="Arial" w:eastAsia="Arial" w:cs="Arial"/>
          <w:position w:val="0"/>
          <w:sz w:val="24"/>
          <w:sz w:val="24"/>
          <w:highlight w:val="white"/>
          <w:vertAlign w:val="baseline"/>
        </w:rPr>
      </w:pPr>
      <w:r>
        <w:rPr>
          <w:rFonts w:eastAsia="Arial" w:cs="Arial" w:ascii="Arial" w:hAnsi="Arial"/>
          <w:position w:val="0"/>
          <w:sz w:val="24"/>
          <w:sz w:val="24"/>
          <w:highlight w:val="white"/>
          <w:vertAlign w:val="baseline"/>
        </w:rPr>
      </w:r>
    </w:p>
    <w:tbl>
      <w:tblPr>
        <w:tblStyle w:val="Table17"/>
        <w:tblW w:w="9218" w:type="dxa"/>
        <w:jc w:val="left"/>
        <w:tblInd w:w="-55" w:type="dxa"/>
        <w:tblLayout w:type="fixed"/>
        <w:tblCellMar>
          <w:top w:w="0" w:type="dxa"/>
          <w:left w:w="108" w:type="dxa"/>
          <w:bottom w:w="0" w:type="dxa"/>
          <w:right w:w="108" w:type="dxa"/>
        </w:tblCellMar>
        <w:tblLook w:val="0000"/>
      </w:tblPr>
      <w:tblGrid>
        <w:gridCol w:w="9218"/>
      </w:tblGrid>
      <w:tr>
        <w:trPr/>
        <w:tc>
          <w:tcPr>
            <w:tcW w:w="9218"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3 PRAZO MÍNIMO DE VALIDADE DAS PROPOSTAS:</w:t>
            </w:r>
          </w:p>
          <w:p>
            <w:pPr>
              <w:pStyle w:val="Normal1"/>
              <w:shd w:val="clear" w:fill="FFFFFF"/>
              <w:ind w:right="-1"/>
              <w:jc w:val="both"/>
              <w:rPr>
                <w:position w:val="0"/>
                <w:sz w:val="24"/>
                <w:sz w:val="24"/>
                <w:vertAlign w:val="baseline"/>
              </w:rPr>
            </w:pPr>
            <w:r>
              <w:rPr>
                <w:rFonts w:eastAsia="Arial" w:cs="Arial" w:ascii="Arial" w:hAnsi="Arial"/>
                <w:position w:val="0"/>
                <w:sz w:val="20"/>
                <w:sz w:val="20"/>
                <w:szCs w:val="20"/>
                <w:highlight w:val="white"/>
                <w:vertAlign w:val="baseline"/>
              </w:rPr>
              <w:t xml:space="preserve">O prazo de validade das propostas, que </w:t>
            </w:r>
            <w:r>
              <w:rPr>
                <w:rFonts w:eastAsia="Arial" w:cs="Arial" w:ascii="Arial" w:hAnsi="Arial"/>
                <w:position w:val="0"/>
                <w:sz w:val="20"/>
                <w:sz w:val="20"/>
                <w:szCs w:val="20"/>
                <w:vertAlign w:val="baseline"/>
              </w:rPr>
              <w:t xml:space="preserve">deverá constar no Descritivo das Propostas de Preços </w:t>
            </w:r>
            <w:r>
              <w:rPr>
                <w:rFonts w:eastAsia="Arial" w:cs="Arial" w:ascii="Arial" w:hAnsi="Arial"/>
                <w:position w:val="0"/>
                <w:sz w:val="20"/>
                <w:sz w:val="20"/>
                <w:szCs w:val="20"/>
                <w:highlight w:val="yellow"/>
                <w:vertAlign w:val="baseline"/>
              </w:rPr>
              <w:t>(Anexo III),</w:t>
            </w:r>
            <w:r>
              <w:rPr>
                <w:rFonts w:eastAsia="Arial" w:cs="Arial" w:ascii="Arial" w:hAnsi="Arial"/>
                <w:position w:val="0"/>
                <w:sz w:val="20"/>
                <w:sz w:val="20"/>
                <w:szCs w:val="20"/>
                <w:vertAlign w:val="baseline"/>
              </w:rPr>
              <w:t xml:space="preserve"> não poderá ser inferior ao fixado neste edital.</w:t>
            </w:r>
          </w:p>
        </w:tc>
      </w:tr>
    </w:tbl>
    <w:p>
      <w:pPr>
        <w:pStyle w:val="Normal1"/>
        <w:shd w:val="clear" w:fill="FFFFFF"/>
        <w:ind w:right="-1"/>
        <w:rPr>
          <w:rFonts w:ascii="Arial" w:hAnsi="Arial" w:eastAsia="Arial" w:cs="Arial"/>
          <w:b/>
          <w:color w:val="0000FF"/>
          <w:position w:val="0"/>
          <w:sz w:val="24"/>
          <w:sz w:val="24"/>
          <w:highlight w:val="white"/>
          <w:vertAlign w:val="baseline"/>
        </w:rPr>
      </w:pPr>
      <w:r>
        <w:rPr>
          <w:rFonts w:eastAsia="Arial" w:cs="Arial" w:ascii="Arial" w:hAnsi="Arial"/>
          <w:b/>
          <w:color w:val="0000FF"/>
          <w:position w:val="0"/>
          <w:sz w:val="24"/>
          <w:sz w:val="24"/>
          <w:highlight w:val="white"/>
          <w:vertAlign w:val="baseline"/>
        </w:rPr>
      </w:r>
    </w:p>
    <w:tbl>
      <w:tblPr>
        <w:tblStyle w:val="Table18"/>
        <w:tblW w:w="9280" w:type="dxa"/>
        <w:jc w:val="left"/>
        <w:tblInd w:w="-55" w:type="dxa"/>
        <w:tblLayout w:type="fixed"/>
        <w:tblCellMar>
          <w:top w:w="0" w:type="dxa"/>
          <w:left w:w="108" w:type="dxa"/>
          <w:bottom w:w="0" w:type="dxa"/>
          <w:right w:w="108" w:type="dxa"/>
        </w:tblCellMar>
        <w:tblLook w:val="0000"/>
      </w:tblPr>
      <w:tblGrid>
        <w:gridCol w:w="9280"/>
      </w:tblGrid>
      <w:tr>
        <w:trPr>
          <w:trHeight w:val="1533" w:hRule="atLeast"/>
        </w:trPr>
        <w:tc>
          <w:tcPr>
            <w:tcW w:w="928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57" w:after="0"/>
              <w:ind w:right="-1"/>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4 VIGÊNCIA:</w:t>
            </w:r>
          </w:p>
          <w:p>
            <w:pPr>
              <w:pStyle w:val="Normal1"/>
              <w:spacing w:lineRule="auto" w:line="240" w:before="57" w:after="0"/>
              <w:ind w:right="-1"/>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4.1 </w:t>
            </w:r>
            <w:r>
              <w:rPr>
                <w:rFonts w:eastAsia="Arial" w:cs="Arial" w:ascii="Arial" w:hAnsi="Arial"/>
                <w:position w:val="0"/>
                <w:sz w:val="20"/>
                <w:sz w:val="20"/>
                <w:szCs w:val="20"/>
                <w:highlight w:val="white"/>
                <w:vertAlign w:val="baseline"/>
              </w:rPr>
              <w:t>A vigência do contrato se inicia com a assinatura do contrato e é de 180 (cento e oitenta) dias contados a partir do término do prazo de execução.</w:t>
            </w:r>
          </w:p>
          <w:p>
            <w:pPr>
              <w:pStyle w:val="Normal1"/>
              <w:spacing w:lineRule="auto" w:line="240" w:before="57" w:after="0"/>
              <w:ind w:right="-1"/>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 xml:space="preserve">4.2 </w:t>
            </w:r>
            <w:r>
              <w:rPr>
                <w:rFonts w:eastAsia="Arial" w:cs="Arial" w:ascii="Arial" w:hAnsi="Arial"/>
                <w:position w:val="0"/>
                <w:sz w:val="20"/>
                <w:sz w:val="20"/>
                <w:szCs w:val="20"/>
                <w:highlight w:val="white"/>
                <w:vertAlign w:val="baseline"/>
              </w:rPr>
              <w:t xml:space="preserve">O prazo de execução do contrato é de </w:t>
            </w:r>
            <w:r>
              <w:rPr>
                <w:rFonts w:eastAsia="Arial" w:cs="Arial" w:ascii="Arial" w:hAnsi="Arial"/>
                <w:position w:val="0"/>
                <w:sz w:val="20"/>
                <w:sz w:val="20"/>
                <w:szCs w:val="20"/>
                <w:highlight w:val="yellow"/>
                <w:vertAlign w:val="baseline"/>
              </w:rPr>
              <w:t>[XXXX] (XXX)</w:t>
            </w:r>
            <w:r>
              <w:rPr>
                <w:rFonts w:eastAsia="Arial" w:cs="Arial" w:ascii="Arial" w:hAnsi="Arial"/>
                <w:position w:val="0"/>
                <w:sz w:val="20"/>
                <w:sz w:val="20"/>
                <w:szCs w:val="20"/>
                <w:highlight w:val="white"/>
                <w:vertAlign w:val="baseline"/>
              </w:rPr>
              <w:t xml:space="preserve"> dias/meses/anos, contados a partir da data estabelecida na Ordem de Serviço.</w:t>
            </w:r>
          </w:p>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6</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Na contratação que previr a conclusão de escopo predefinido deverá ser incluída a seguinte redação:</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presente contratação adotará como regime de execução a XXXXXXXX (Empreitada por Preço Unitário/Empreitada por Preço Global/Execução por Tarefa/Empreitada Integral)</w:t>
            </w:r>
          </w:p>
          <w:p>
            <w:pPr>
              <w:pStyle w:val="Normal1"/>
              <w:keepNext w:val="false"/>
              <w:keepLines w:val="false"/>
              <w:widowControl/>
              <w:shd w:val="clear" w:fill="FFFF00"/>
              <w:tabs>
                <w:tab w:val="left" w:pos="720" w:leader="none"/>
              </w:tabs>
              <w:spacing w:lineRule="auto" w:line="240" w:before="57" w:after="57"/>
              <w:ind w:hanging="0" w:left="0"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4.2.2</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O prazo de vigência será automaticamente prorrogado quando seu objeto não for concluído no período firmado no contrato, respeitadas as disposições contidas no art. 111 da Lei Federal n.º 14.133/2021.</w:t>
            </w:r>
          </w:p>
          <w:p>
            <w:pPr>
              <w:pStyle w:val="Normal1"/>
              <w:keepNext w:val="false"/>
              <w:keepLines w:val="false"/>
              <w:widowControl/>
              <w:shd w:val="clear" w:fill="FFFF00"/>
              <w:tabs>
                <w:tab w:val="left" w:pos="720" w:leader="none"/>
              </w:tabs>
              <w:spacing w:lineRule="auto" w:line="240" w:before="57" w:after="57"/>
              <w:ind w:hanging="0" w:left="0"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OU</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OBS.1.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Na contratação que previr a execução de serviços contínuos de engenharia deverá ser incluída a redação a seguir:</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presente contratação adotará como regime de execução a XXXXXXXX (Empreitada por           Preço Unitário/Empreitada por Preço Global/Execução por Tarefa/Empreitada Integral)</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4.2.2.</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O prazo de vigência do contrato é de até _____( anos), om base no artigo 106 da Lei n.º Federal 14.133, de 2021. podendo ser prorrogado por interesse das partes até o limite de XXX (XXXXXX) anos, conforme o previsto no art. 107 da mesma Lei.</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OU</w:t>
            </w:r>
          </w:p>
          <w:p>
            <w:pPr>
              <w:pStyle w:val="Normal1"/>
              <w:keepNext w:val="false"/>
              <w:keepLines w:val="false"/>
              <w:widowControl/>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4.2.1</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contrato terá vigência pelo período de ____ (dias/meses/anos), não sendo prorrogável.</w:t>
            </w:r>
          </w:p>
          <w:p>
            <w:pPr>
              <w:pStyle w:val="Normal1"/>
              <w:keepNext w:val="false"/>
              <w:keepLines w:val="false"/>
              <w:widowControl/>
              <w:shd w:val="clear" w:fill="FFFF00"/>
              <w:tabs>
                <w:tab w:val="left" w:pos="720" w:leader="none"/>
              </w:tabs>
              <w:spacing w:lineRule="auto" w:line="240" w:before="57" w:after="57"/>
              <w:ind w:hanging="0" w:left="0" w:right="-1"/>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spacing w:lineRule="auto" w:line="240" w:before="57" w:after="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19"/>
        <w:tblW w:w="9059" w:type="dxa"/>
        <w:jc w:val="left"/>
        <w:tblInd w:w="-55" w:type="dxa"/>
        <w:tblLayout w:type="fixed"/>
        <w:tblCellMar>
          <w:top w:w="0" w:type="dxa"/>
          <w:left w:w="108" w:type="dxa"/>
          <w:bottom w:w="0" w:type="dxa"/>
          <w:right w:w="108" w:type="dxa"/>
        </w:tblCellMar>
        <w:tblLook w:val="0000"/>
      </w:tblPr>
      <w:tblGrid>
        <w:gridCol w:w="9059"/>
      </w:tblGrid>
      <w:tr>
        <w:trPr/>
        <w:tc>
          <w:tcPr>
            <w:tcW w:w="9059"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5 GARANTIA:</w:t>
            </w:r>
          </w:p>
          <w:p>
            <w:pPr>
              <w:pStyle w:val="Normal1"/>
              <w:ind w:right="-1"/>
              <w:jc w:val="both"/>
              <w:rPr>
                <w:rFonts w:ascii="Arial" w:hAnsi="Arial" w:eastAsia="Arial" w:cs="Arial"/>
                <w:position w:val="0"/>
                <w:sz w:val="24"/>
                <w:sz w:val="24"/>
                <w:vertAlign w:val="baseline"/>
              </w:rPr>
            </w:pPr>
            <w:r>
              <w:rPr>
                <w:rFonts w:eastAsia="Arial" w:cs="Arial" w:ascii="Arial" w:hAnsi="Arial"/>
                <w:position w:val="0"/>
                <w:sz w:val="20"/>
                <w:sz w:val="20"/>
                <w:szCs w:val="20"/>
                <w:highlight w:val="white"/>
                <w:vertAlign w:val="baseline"/>
              </w:rPr>
              <w:t xml:space="preserve">Será exigida garantia da execução do contrato, na forma da </w:t>
            </w:r>
            <w:r>
              <w:rPr>
                <w:rFonts w:eastAsia="Arial" w:cs="Arial" w:ascii="Arial" w:hAnsi="Arial"/>
                <w:color w:val="000000"/>
                <w:position w:val="0"/>
                <w:sz w:val="20"/>
                <w:sz w:val="20"/>
                <w:szCs w:val="20"/>
                <w:highlight w:val="white"/>
                <w:vertAlign w:val="baseline"/>
              </w:rPr>
              <w:t>cláusula 12 da Minuta de Contrato (Anexo I).</w:t>
            </w:r>
          </w:p>
          <w:p>
            <w:pPr>
              <w:pStyle w:val="Normal1"/>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20"/>
              <w:tblW w:w="8963" w:type="dxa"/>
              <w:jc w:val="left"/>
              <w:tblInd w:w="0" w:type="dxa"/>
              <w:tblLayout w:type="fixed"/>
              <w:tblCellMar>
                <w:top w:w="0" w:type="dxa"/>
                <w:left w:w="108" w:type="dxa"/>
                <w:bottom w:w="0" w:type="dxa"/>
                <w:right w:w="108" w:type="dxa"/>
              </w:tblCellMar>
              <w:tblLook w:val="0000"/>
            </w:tblPr>
            <w:tblGrid>
              <w:gridCol w:w="8963"/>
            </w:tblGrid>
            <w:tr>
              <w:trPr/>
              <w:tc>
                <w:tcPr>
                  <w:tcW w:w="8963"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t>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end"/>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Este tópico deverá ser removido, caso a Administração opte por não exigir a garantia, </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 xml:space="preserve">observada 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Nota Explicativa da Cláusula 12 da Minuta Padrão – (Anexo I). Caso seja exigida a garantia da execução, é obrigatório que o ajuste seja formalizado por contrato.</w:t>
                  </w:r>
                </w:p>
              </w:tc>
            </w:tr>
          </w:tbl>
          <w:p>
            <w:pPr>
              <w:pStyle w:val="Normal1"/>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rPr>
          <w:position w:val="0"/>
          <w:sz w:val="24"/>
          <w:sz w:val="24"/>
          <w:vertAlign w:val="baseline"/>
        </w:rPr>
      </w:pPr>
      <w:r>
        <w:rPr>
          <w:position w:val="0"/>
          <w:sz w:val="24"/>
          <w:sz w:val="24"/>
          <w:vertAlign w:val="baseline"/>
        </w:rPr>
      </w:r>
    </w:p>
    <w:tbl>
      <w:tblPr>
        <w:tblStyle w:val="Table21"/>
        <w:tblW w:w="9067" w:type="dxa"/>
        <w:jc w:val="left"/>
        <w:tblInd w:w="-55" w:type="dxa"/>
        <w:tblLayout w:type="fixed"/>
        <w:tblCellMar>
          <w:top w:w="0" w:type="dxa"/>
          <w:left w:w="108" w:type="dxa"/>
          <w:bottom w:w="0" w:type="dxa"/>
          <w:right w:w="108" w:type="dxa"/>
        </w:tblCellMar>
        <w:tblLook w:val="0000"/>
      </w:tblPr>
      <w:tblGrid>
        <w:gridCol w:w="9067"/>
      </w:tblGrid>
      <w:tr>
        <w:trPr/>
        <w:tc>
          <w:tcPr>
            <w:tcW w:w="9067"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6 GARANTIA:</w:t>
            </w:r>
          </w:p>
          <w:p>
            <w:pPr>
              <w:pStyle w:val="Normal1"/>
              <w:ind w:right="-1"/>
              <w:jc w:val="both"/>
              <w:rPr>
                <w:rFonts w:ascii="Arial" w:hAnsi="Arial" w:eastAsia="Arial" w:cs="Arial"/>
                <w:color w:val="FF0000"/>
                <w:position w:val="0"/>
                <w:sz w:val="24"/>
                <w:sz w:val="24"/>
                <w:vertAlign w:val="baseline"/>
              </w:rPr>
            </w:pPr>
            <w:r>
              <w:rPr>
                <w:rFonts w:eastAsia="Arial" w:cs="Arial" w:ascii="Arial" w:hAnsi="Arial"/>
                <w:position w:val="0"/>
                <w:sz w:val="20"/>
                <w:sz w:val="20"/>
                <w:szCs w:val="20"/>
                <w:highlight w:val="white"/>
                <w:vertAlign w:val="baseline"/>
              </w:rPr>
              <w:t>Será exigida garantia da execução do contrato, na forma da cláusula 12 da Minuta de Contrato (Anexo I).</w:t>
            </w:r>
          </w:p>
          <w:p>
            <w:pPr>
              <w:pStyle w:val="Normal1"/>
              <w:ind w:right="-1"/>
              <w:jc w:val="both"/>
              <w:rPr>
                <w:rFonts w:ascii="Arial" w:hAnsi="Arial" w:eastAsia="Arial" w:cs="Arial"/>
                <w:color w:val="FF0000"/>
                <w:position w:val="0"/>
                <w:sz w:val="24"/>
                <w:sz w:val="24"/>
                <w:vertAlign w:val="baseline"/>
              </w:rPr>
            </w:pPr>
            <w:r>
              <w:rPr>
                <w:rFonts w:eastAsia="Arial" w:cs="Arial" w:ascii="Arial" w:hAnsi="Arial"/>
                <w:color w:val="FF0000"/>
                <w:position w:val="0"/>
                <w:sz w:val="24"/>
                <w:sz w:val="24"/>
                <w:vertAlign w:val="baseline"/>
              </w:rPr>
            </w:r>
          </w:p>
          <w:tbl>
            <w:tblPr>
              <w:tblStyle w:val="Table22"/>
              <w:tblW w:w="8838" w:type="dxa"/>
              <w:jc w:val="left"/>
              <w:tblInd w:w="0" w:type="dxa"/>
              <w:tblLayout w:type="fixed"/>
              <w:tblCellMar>
                <w:top w:w="0" w:type="dxa"/>
                <w:left w:w="108" w:type="dxa"/>
                <w:bottom w:w="0" w:type="dxa"/>
                <w:right w:w="108" w:type="dxa"/>
              </w:tblCellMar>
              <w:tblLook w:val="0000"/>
            </w:tblPr>
            <w:tblGrid>
              <w:gridCol w:w="8838"/>
            </w:tblGrid>
            <w:tr>
              <w:trPr/>
              <w:tc>
                <w:tcPr>
                  <w:tcW w:w="883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t>8</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end"/>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Este tópico deverá ser removido, caso a Administração opte por não exigir a garantia, </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 xml:space="preserve">observada 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Nota Explicativa da Cláusula 12 da Minuta Padrão – Contrato  (Anexo VII). </w:t>
                  </w: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Caso seja exigida a garantia da execução, é obrigatório que o ajuste seja formalizado por contrato.</w:t>
                  </w:r>
                </w:p>
              </w:tc>
            </w:tr>
          </w:tbl>
          <w:p>
            <w:pPr>
              <w:pStyle w:val="Normal1"/>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ind w:right="-1"/>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23"/>
        <w:tblW w:w="9218" w:type="dxa"/>
        <w:jc w:val="left"/>
        <w:tblInd w:w="-55" w:type="dxa"/>
        <w:tblLayout w:type="fixed"/>
        <w:tblCellMar>
          <w:top w:w="0" w:type="dxa"/>
          <w:left w:w="108" w:type="dxa"/>
          <w:bottom w:w="0" w:type="dxa"/>
          <w:right w:w="108" w:type="dxa"/>
        </w:tblCellMar>
        <w:tblLook w:val="0000"/>
      </w:tblPr>
      <w:tblGrid>
        <w:gridCol w:w="9218"/>
      </w:tblGrid>
      <w:tr>
        <w:trPr>
          <w:trHeight w:val="60" w:hRule="atLeast"/>
        </w:trPr>
        <w:tc>
          <w:tcPr>
            <w:tcW w:w="9218" w:type="dxa"/>
            <w:tcBorders>
              <w:top w:val="single" w:sz="8" w:space="0" w:color="000000"/>
              <w:left w:val="single" w:sz="8" w:space="0" w:color="000000"/>
              <w:bottom w:val="single" w:sz="8" w:space="0" w:color="000000"/>
              <w:right w:val="single" w:sz="8" w:space="0" w:color="000000"/>
            </w:tcBorders>
            <w:shd w:fill="auto" w:val="clear"/>
          </w:tcPr>
          <w:p>
            <w:pPr>
              <w:pStyle w:val="Normal1"/>
              <w:ind w:right="-1"/>
              <w:jc w:val="both"/>
              <w:rPr>
                <w:position w:val="0"/>
                <w:sz w:val="24"/>
                <w:sz w:val="24"/>
                <w:vertAlign w:val="baseline"/>
              </w:rPr>
            </w:pPr>
            <w:r>
              <w:rPr>
                <w:rFonts w:eastAsia="Arial" w:cs="Arial" w:ascii="Arial" w:hAnsi="Arial"/>
                <w:b/>
                <w:position w:val="0"/>
                <w:sz w:val="20"/>
                <w:sz w:val="20"/>
                <w:szCs w:val="20"/>
                <w:highlight w:val="white"/>
                <w:vertAlign w:val="baseline"/>
              </w:rPr>
              <w:t>7 CONSÓRCIO:</w:t>
            </w:r>
          </w:p>
          <w:p>
            <w:pPr>
              <w:pStyle w:val="Normal1"/>
              <w:ind w:right="-1"/>
              <w:jc w:val="both"/>
              <w:rPr>
                <w:position w:val="0"/>
                <w:sz w:val="24"/>
                <w:sz w:val="24"/>
                <w:vertAlign w:val="baseline"/>
              </w:rPr>
            </w:pPr>
            <w:r>
              <w:rPr>
                <w:position w:val="0"/>
                <w:sz w:val="24"/>
                <w:sz w:val="24"/>
                <w:vertAlign w:val="baseline"/>
              </w:rPr>
            </w:r>
          </w:p>
          <w:p>
            <w:pPr>
              <w:pStyle w:val="Normal1"/>
              <w:keepNext w:val="false"/>
              <w:keepLines w:val="false"/>
              <w:widowControl/>
              <w:shd w:val="clear" w:fill="FFFF00"/>
              <w:spacing w:lineRule="auto" w:line="240" w:before="0" w:after="0"/>
              <w:ind w:hanging="0" w:left="0" w:right="-1"/>
              <w:jc w:val="both"/>
              <w:rPr>
                <w:rFonts w:ascii="Arial" w:hAnsi="Arial" w:eastAsia="Arial" w:cs="Arial"/>
                <w:b/>
                <w:i w:val="false"/>
                <w:i w:val="false"/>
                <w:caps w:val="false"/>
                <w:smallCaps w:val="false"/>
                <w:strike w:val="false"/>
                <w:dstrike w:val="false"/>
                <w:color w:val="00000A"/>
                <w:position w:val="0"/>
                <w:sz w:val="20"/>
                <w:sz w:val="20"/>
                <w:szCs w:val="20"/>
                <w:u w:val="singl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 juízo acerca da admissão ou não das empresas consorciadas na licitação dependerá de cada caso concreto e deverá estar devidamente justificado no procedimento licitatório, com base em elementos técnicos e econômicos, a partir das variáveis da complexidade do objeto e das circunstâncias do mercado, tais como o risco à restrição da competitividade, as dificuldades de gestão da execução do contrato e a capacidade técnica e econômica dos participantes.</w:t>
            </w:r>
          </w:p>
          <w:p>
            <w:pPr>
              <w:pStyle w:val="Normal1"/>
              <w:keepNext w:val="false"/>
              <w:keepLines w:val="false"/>
              <w:widowControl/>
              <w:shd w:val="clear" w:fill="FFFF00"/>
              <w:spacing w:lineRule="auto" w:line="240" w:before="0" w:after="0"/>
              <w:ind w:hanging="0" w:left="0" w:right="-1"/>
              <w:jc w:val="both"/>
              <w:rPr>
                <w:rFonts w:ascii="Arial" w:hAnsi="Arial" w:eastAsia="Arial" w:cs="Arial"/>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A"/>
                <w:position w:val="0"/>
                <w:sz w:val="20"/>
                <w:sz w:val="20"/>
                <w:szCs w:val="20"/>
                <w:u w:val="single"/>
                <w:shd w:fill="auto" w:val="clear"/>
                <w:vertAlign w:val="baseline"/>
              </w:rPr>
              <w:t>A Administração deverá optar por uma das seguintes redações:</w:t>
            </w:r>
          </w:p>
          <w:p>
            <w:pPr>
              <w:pStyle w:val="Normal1"/>
              <w:shd w:val="clear" w:fill="FFFF00"/>
              <w:ind w:right="-1"/>
              <w:jc w:val="both"/>
              <w:rPr>
                <w:rFonts w:ascii="Arial" w:hAnsi="Arial" w:eastAsia="Arial" w:cs="Arial"/>
                <w:b/>
                <w:i w:val="false"/>
                <w:i w:val="false"/>
                <w:color w:val="000000"/>
                <w:position w:val="0"/>
                <w:sz w:val="20"/>
                <w:sz w:val="20"/>
                <w:szCs w:val="20"/>
                <w:vertAlign w:val="baseline"/>
              </w:rPr>
            </w:pPr>
            <w:r>
              <w:rPr>
                <w:rFonts w:eastAsia="Arial" w:cs="Arial" w:ascii="Arial" w:hAnsi="Arial"/>
                <w:b/>
                <w:i w:val="false"/>
                <w:position w:val="0"/>
                <w:sz w:val="20"/>
                <w:sz w:val="20"/>
                <w:szCs w:val="20"/>
                <w:vertAlign w:val="baseline"/>
              </w:rPr>
              <w:t xml:space="preserve">7. </w:t>
            </w:r>
            <w:r>
              <w:rPr>
                <w:rFonts w:eastAsia="Arial" w:cs="Arial" w:ascii="Arial" w:hAnsi="Arial"/>
                <w:i w:val="false"/>
                <w:position w:val="0"/>
                <w:sz w:val="20"/>
                <w:sz w:val="20"/>
                <w:szCs w:val="20"/>
                <w:vertAlign w:val="baseline"/>
              </w:rPr>
              <w:t>Será permitida a participação de empresas em regime de consórcio, atendidas as condições do art. 15 da Lei Federal n.º 14.133, de 2021, e do Decreto n.º 10.086, de 2022 e aquelas estabelecidas neste edital, conforme justificativa técnica e econômica constante do procedimento administrativo.</w:t>
            </w:r>
          </w:p>
          <w:p>
            <w:pPr>
              <w:pStyle w:val="Normal1"/>
              <w:shd w:val="clear" w:fill="FFFF00"/>
              <w:ind w:right="-1"/>
              <w:jc w:val="both"/>
              <w:rPr>
                <w:rFonts w:ascii="Arial" w:hAnsi="Arial" w:eastAsia="Arial" w:cs="Arial"/>
                <w:b/>
                <w:i w:val="false"/>
                <w:i w:val="false"/>
                <w:color w:val="000000"/>
                <w:position w:val="0"/>
                <w:sz w:val="20"/>
                <w:sz w:val="20"/>
                <w:szCs w:val="20"/>
                <w:vertAlign w:val="baseline"/>
              </w:rPr>
            </w:pPr>
            <w:r>
              <w:rPr>
                <w:rFonts w:eastAsia="Arial" w:cs="Arial" w:ascii="Arial" w:hAnsi="Arial"/>
                <w:b/>
                <w:i w:val="false"/>
                <w:color w:val="000000"/>
                <w:position w:val="0"/>
                <w:sz w:val="20"/>
                <w:sz w:val="20"/>
                <w:szCs w:val="20"/>
                <w:vertAlign w:val="baseline"/>
              </w:rPr>
              <w:t>7.1</w:t>
            </w:r>
            <w:r>
              <w:rPr>
                <w:rFonts w:eastAsia="Arial" w:cs="Arial" w:ascii="Arial" w:hAnsi="Arial"/>
                <w:i w:val="false"/>
                <w:color w:val="000000"/>
                <w:position w:val="0"/>
                <w:sz w:val="20"/>
                <w:sz w:val="20"/>
                <w:szCs w:val="20"/>
                <w:vertAlign w:val="baseline"/>
              </w:rPr>
              <w:t xml:space="preserve"> As empresas consorciadas deverão ter objeto social pertinente e compatível com o objeto licitado.</w:t>
            </w:r>
          </w:p>
          <w:p>
            <w:pPr>
              <w:pStyle w:val="Normal1"/>
              <w:shd w:val="clear" w:fill="FFFF00"/>
              <w:ind w:right="-1"/>
              <w:jc w:val="both"/>
              <w:rPr>
                <w:rFonts w:ascii="Arial" w:hAnsi="Arial" w:eastAsia="Arial" w:cs="Arial"/>
                <w:b/>
                <w:i w:val="false"/>
                <w:i w:val="false"/>
                <w:color w:val="000000"/>
                <w:position w:val="0"/>
                <w:sz w:val="20"/>
                <w:sz w:val="20"/>
                <w:szCs w:val="20"/>
                <w:vertAlign w:val="baseline"/>
              </w:rPr>
            </w:pPr>
            <w:r>
              <w:rPr>
                <w:rFonts w:eastAsia="Arial" w:cs="Arial" w:ascii="Arial" w:hAnsi="Arial"/>
                <w:b/>
                <w:i w:val="false"/>
                <w:color w:val="000000"/>
                <w:position w:val="0"/>
                <w:sz w:val="20"/>
                <w:sz w:val="20"/>
                <w:szCs w:val="20"/>
                <w:vertAlign w:val="baseline"/>
              </w:rPr>
              <w:t>7.2</w:t>
            </w:r>
            <w:r>
              <w:rPr>
                <w:rFonts w:eastAsia="Arial" w:cs="Arial" w:ascii="Arial" w:hAnsi="Arial"/>
                <w:i w:val="false"/>
                <w:color w:val="000000"/>
                <w:position w:val="0"/>
                <w:sz w:val="20"/>
                <w:sz w:val="20"/>
                <w:szCs w:val="20"/>
                <w:vertAlign w:val="baseline"/>
              </w:rPr>
              <w:t xml:space="preserve"> Somente serão admitidos c</w:t>
            </w:r>
            <w:r>
              <w:rPr>
                <w:rFonts w:eastAsia="Arial" w:cs="Arial" w:ascii="Arial" w:hAnsi="Arial"/>
                <w:i w:val="false"/>
                <w:position w:val="0"/>
                <w:sz w:val="20"/>
                <w:sz w:val="20"/>
                <w:szCs w:val="20"/>
                <w:vertAlign w:val="baseline"/>
              </w:rPr>
              <w:t>onsórcios formados por ME e EPP cuja soma da receita bruta dos integrantes não ultrapassasse o limite de EPP.</w:t>
            </w:r>
          </w:p>
          <w:p>
            <w:pPr>
              <w:pStyle w:val="Normal1"/>
              <w:shd w:val="clear" w:fill="FFFF00"/>
              <w:ind w:right="-1"/>
              <w:jc w:val="both"/>
              <w:rPr>
                <w:rFonts w:ascii="Arial" w:hAnsi="Arial" w:eastAsia="Arial" w:cs="Arial"/>
                <w:i w:val="false"/>
                <w:i w:val="false"/>
                <w:color w:val="000000"/>
                <w:position w:val="0"/>
                <w:sz w:val="20"/>
                <w:sz w:val="20"/>
                <w:szCs w:val="20"/>
                <w:vertAlign w:val="baseline"/>
              </w:rPr>
            </w:pPr>
            <w:r>
              <w:rPr>
                <w:rFonts w:eastAsia="Arial" w:cs="Arial" w:ascii="Arial" w:hAnsi="Arial"/>
                <w:b/>
                <w:i w:val="false"/>
                <w:color w:val="000000"/>
                <w:position w:val="0"/>
                <w:sz w:val="20"/>
                <w:sz w:val="20"/>
                <w:szCs w:val="20"/>
                <w:vertAlign w:val="baseline"/>
              </w:rPr>
              <w:t>7.3</w:t>
            </w:r>
            <w:r>
              <w:rPr>
                <w:rFonts w:eastAsia="Arial" w:cs="Arial" w:ascii="Arial" w:hAnsi="Arial"/>
                <w:i w:val="false"/>
                <w:color w:val="000000"/>
                <w:position w:val="0"/>
                <w:sz w:val="20"/>
                <w:sz w:val="20"/>
                <w:szCs w:val="20"/>
                <w:vertAlign w:val="baseline"/>
              </w:rPr>
              <w:t xml:space="preserve"> O arrematante entregará, junto com os documentos de habilitação:</w:t>
            </w:r>
          </w:p>
          <w:p>
            <w:pPr>
              <w:pStyle w:val="Normal1"/>
              <w:shd w:val="clear" w:fill="FFFF00"/>
              <w:spacing w:lineRule="auto" w:line="240" w:before="57" w:after="0"/>
              <w:ind w:hanging="0" w:left="9" w:right="-55"/>
              <w:jc w:val="both"/>
              <w:rPr>
                <w:rFonts w:ascii="Arial" w:hAnsi="Arial" w:eastAsia="Arial" w:cs="Arial"/>
                <w:i w:val="false"/>
                <w:i w:val="false"/>
                <w:position w:val="0"/>
                <w:sz w:val="20"/>
                <w:sz w:val="20"/>
                <w:szCs w:val="20"/>
                <w:vertAlign w:val="baseline"/>
              </w:rPr>
            </w:pPr>
            <w:r>
              <w:rPr>
                <w:rFonts w:eastAsia="Arial" w:cs="Arial" w:ascii="Arial" w:hAnsi="Arial"/>
                <w:i w:val="false"/>
                <w:color w:val="000000"/>
                <w:position w:val="0"/>
                <w:sz w:val="20"/>
                <w:sz w:val="20"/>
                <w:szCs w:val="20"/>
                <w:vertAlign w:val="baseline"/>
              </w:rPr>
              <w:t>a) o</w:t>
            </w:r>
            <w:r>
              <w:rPr>
                <w:rFonts w:eastAsia="Arial" w:cs="Arial" w:ascii="Arial" w:hAnsi="Arial"/>
                <w:i w:val="false"/>
                <w:position w:val="0"/>
                <w:sz w:val="20"/>
                <w:sz w:val="20"/>
                <w:szCs w:val="20"/>
                <w:vertAlign w:val="baseline"/>
              </w:rPr>
              <w:t xml:space="preserve"> compromisso público ou particular registrado em cartório de constituição de consórcio, subscrito pelos consorciados, que discriminará os poderes e encargos de cada consorciado e indicará a etapa do objeto a que cada um ficará responsável, com o respectivo percentual de participação;</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i w:val="false"/>
                <w:position w:val="0"/>
                <w:sz w:val="20"/>
                <w:sz w:val="20"/>
                <w:szCs w:val="20"/>
                <w:vertAlign w:val="baseline"/>
              </w:rPr>
              <w:t>b) documento com indicação da empresa responsável pelo consórcio, a qual deverá atender às condições de liderança, fixadas neste edital. No consórcio de empresas brasileiras e estrangeiras, a liderança caberá, obrigatoriamente, à empresa brasileira.</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7.4</w:t>
            </w:r>
            <w:r>
              <w:rPr>
                <w:rFonts w:eastAsia="Arial" w:cs="Arial" w:ascii="Arial" w:hAnsi="Arial"/>
                <w:i w:val="false"/>
                <w:position w:val="0"/>
                <w:sz w:val="20"/>
                <w:sz w:val="20"/>
                <w:szCs w:val="20"/>
                <w:vertAlign w:val="baseline"/>
              </w:rPr>
              <w:t xml:space="preserve"> Os Documentos de Habilitação (Anexo XIV) deverão ser apresentados por parte de cada consorciado, admitindo-se, para efeito de qualificação técnica, o somatório dos quantitativos de cada consorciado, na proporção de sua respectiva participação, e, para efeito de qualificação econômico-financeira, o somatório dos valores de cada consorciado, também na proporção de sua respectiva participação.</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7.5</w:t>
            </w:r>
            <w:r>
              <w:rPr>
                <w:rFonts w:eastAsia="Arial" w:cs="Arial" w:ascii="Arial" w:hAnsi="Arial"/>
                <w:i w:val="false"/>
                <w:position w:val="0"/>
                <w:sz w:val="20"/>
                <w:sz w:val="20"/>
                <w:szCs w:val="20"/>
                <w:vertAlign w:val="baseline"/>
              </w:rPr>
              <w:t xml:space="preserve"> A empresa consorciada está impedida de participar desta licitação por intermédio de mais de um consórcio ou isoladamente, inclusive na condição de subcontratada de outro licitante.</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 xml:space="preserve">7.6 </w:t>
            </w:r>
            <w:r>
              <w:rPr>
                <w:rFonts w:eastAsia="Arial" w:cs="Arial" w:ascii="Arial" w:hAnsi="Arial"/>
                <w:i w:val="false"/>
                <w:position w:val="0"/>
                <w:sz w:val="20"/>
                <w:sz w:val="20"/>
                <w:szCs w:val="20"/>
                <w:vertAlign w:val="baseline"/>
              </w:rPr>
              <w:t>Os integrantes do consórcio respondem de forma solidária pelos atos praticados em consórcio, tanto na fase de licitação, quanto na de execução do contrato.</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7.7</w:t>
            </w:r>
            <w:r>
              <w:rPr>
                <w:rFonts w:eastAsia="Arial" w:cs="Arial" w:ascii="Arial" w:hAnsi="Arial"/>
                <w:i w:val="false"/>
                <w:position w:val="0"/>
                <w:sz w:val="20"/>
                <w:sz w:val="20"/>
                <w:szCs w:val="20"/>
                <w:vertAlign w:val="baseline"/>
              </w:rPr>
              <w:t xml:space="preserve"> A empresa líder será a representante do consórcio perante a Contratante e deverá subscrever a proposta de preços, em nome do consórcio.</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7.8</w:t>
            </w:r>
            <w:r>
              <w:rPr>
                <w:rFonts w:eastAsia="Arial" w:cs="Arial" w:ascii="Arial" w:hAnsi="Arial"/>
                <w:i w:val="false"/>
                <w:position w:val="0"/>
                <w:sz w:val="20"/>
                <w:sz w:val="20"/>
                <w:szCs w:val="20"/>
                <w:vertAlign w:val="baseline"/>
              </w:rPr>
              <w:t xml:space="preserve"> Qualquer uma das consorciadas poderá apresentar, em nome do consórcio, a garantia da execução, quando exigida.</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7.9</w:t>
            </w:r>
            <w:r>
              <w:rPr>
                <w:rFonts w:eastAsia="Arial" w:cs="Arial" w:ascii="Arial" w:hAnsi="Arial"/>
                <w:i w:val="false"/>
                <w:position w:val="0"/>
                <w:sz w:val="20"/>
                <w:sz w:val="20"/>
                <w:szCs w:val="20"/>
                <w:vertAlign w:val="baseline"/>
              </w:rPr>
              <w:t xml:space="preserve"> O prazo de duração do consórcio deve, no mínimo, coincidir com o prazo de conclusão do objeto licitado, até sua aceitação definitiva.</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7.10</w:t>
            </w:r>
            <w:r>
              <w:rPr>
                <w:rFonts w:eastAsia="Arial" w:cs="Arial" w:ascii="Arial" w:hAnsi="Arial"/>
                <w:i w:val="false"/>
                <w:position w:val="0"/>
                <w:sz w:val="20"/>
                <w:sz w:val="20"/>
                <w:szCs w:val="20"/>
                <w:vertAlign w:val="baseline"/>
              </w:rPr>
              <w:t xml:space="preserve"> Estará impedida de participar do consórcio a empresa na qual figure, entre seus diretores, responsáveis técnicos ou sócios, pessoa que seja funcionário, diretor, responsável técnico ou sócio de outra empresa consorciada.</w:t>
            </w:r>
          </w:p>
          <w:p>
            <w:pPr>
              <w:pStyle w:val="Normal1"/>
              <w:shd w:val="clear" w:fill="FFFF00"/>
              <w:ind w:right="-1"/>
              <w:jc w:val="both"/>
              <w:rPr>
                <w:rFonts w:ascii="Arial" w:hAnsi="Arial" w:eastAsia="Arial" w:cs="Arial"/>
                <w:i w:val="false"/>
                <w:i w:val="false"/>
                <w:position w:val="0"/>
                <w:sz w:val="20"/>
                <w:sz w:val="20"/>
                <w:szCs w:val="20"/>
                <w:vertAlign w:val="baseline"/>
              </w:rPr>
            </w:pPr>
            <w:r>
              <w:rPr>
                <w:rFonts w:eastAsia="Arial" w:cs="Arial" w:ascii="Arial" w:hAnsi="Arial"/>
                <w:b/>
                <w:i w:val="false"/>
                <w:position w:val="0"/>
                <w:sz w:val="20"/>
                <w:sz w:val="20"/>
                <w:szCs w:val="20"/>
                <w:vertAlign w:val="baseline"/>
              </w:rPr>
              <w:t>7.11</w:t>
            </w:r>
            <w:r>
              <w:rPr>
                <w:rFonts w:eastAsia="Arial" w:cs="Arial" w:ascii="Arial" w:hAnsi="Arial"/>
                <w:i w:val="false"/>
                <w:position w:val="0"/>
                <w:sz w:val="20"/>
                <w:sz w:val="20"/>
                <w:szCs w:val="20"/>
                <w:vertAlign w:val="baseline"/>
              </w:rPr>
              <w:t xml:space="preserve"> Tratando-se de consórcio, o licitante vencedor fica obrigado a promover, antes da celebração do</w:t>
            </w:r>
            <w:r>
              <w:rPr>
                <w:rFonts w:eastAsia="Arial" w:cs="Arial" w:ascii="Arial" w:hAnsi="Arial"/>
                <w:i/>
                <w:position w:val="0"/>
                <w:sz w:val="20"/>
                <w:sz w:val="20"/>
                <w:szCs w:val="20"/>
                <w:vertAlign w:val="baseline"/>
              </w:rPr>
              <w:t xml:space="preserve"> </w:t>
            </w:r>
            <w:r>
              <w:rPr>
                <w:rFonts w:eastAsia="Arial" w:cs="Arial" w:ascii="Arial" w:hAnsi="Arial"/>
                <w:i w:val="false"/>
                <w:position w:val="0"/>
                <w:sz w:val="20"/>
                <w:sz w:val="20"/>
                <w:szCs w:val="20"/>
                <w:vertAlign w:val="baseline"/>
              </w:rPr>
              <w:t>contrato, a constituição e o registro do consórcio no órgão oficial competente, nos termos do compromisso."</w:t>
            </w:r>
          </w:p>
          <w:p>
            <w:pPr>
              <w:pStyle w:val="Normal1"/>
              <w:shd w:val="clear" w:fill="FFFF00"/>
              <w:ind w:right="-1"/>
              <w:jc w:val="both"/>
              <w:rPr>
                <w:rFonts w:ascii="Arial" w:hAnsi="Arial" w:eastAsia="Arial" w:cs="Arial"/>
                <w:i w:val="false"/>
                <w:i w:val="false"/>
                <w:position w:val="0"/>
                <w:sz w:val="20"/>
                <w:sz w:val="20"/>
                <w:szCs w:val="20"/>
                <w:vertAlign w:val="baseline"/>
              </w:rPr>
            </w:pPr>
            <w:r>
              <w:rPr>
                <w:rFonts w:eastAsia="Arial" w:cs="Arial" w:ascii="Arial" w:hAnsi="Arial"/>
                <w:i w:val="false"/>
                <w:position w:val="0"/>
                <w:sz w:val="20"/>
                <w:sz w:val="20"/>
                <w:szCs w:val="20"/>
                <w:vertAlign w:val="baseline"/>
              </w:rPr>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t>OU:</w:t>
            </w:r>
          </w:p>
          <w:p>
            <w:pPr>
              <w:pStyle w:val="Normal1"/>
              <w:shd w:val="clear" w:fill="FFFF00"/>
              <w:ind w:right="-1"/>
              <w:jc w:val="both"/>
              <w:rPr>
                <w:rFonts w:ascii="Arial" w:hAnsi="Arial" w:eastAsia="Arial" w:cs="Arial"/>
                <w:b/>
                <w:i w:val="false"/>
                <w:i w:val="false"/>
                <w:position w:val="0"/>
                <w:sz w:val="20"/>
                <w:sz w:val="20"/>
                <w:szCs w:val="20"/>
                <w:vertAlign w:val="baseline"/>
              </w:rPr>
            </w:pPr>
            <w:r>
              <w:rPr>
                <w:rFonts w:eastAsia="Arial" w:cs="Arial" w:ascii="Arial" w:hAnsi="Arial"/>
                <w:b/>
                <w:i w:val="false"/>
                <w:position w:val="0"/>
                <w:sz w:val="20"/>
                <w:sz w:val="20"/>
                <w:szCs w:val="20"/>
                <w:vertAlign w:val="baseline"/>
              </w:rPr>
            </w:r>
          </w:p>
          <w:p>
            <w:pPr>
              <w:pStyle w:val="Normal1"/>
              <w:shd w:val="clear" w:fill="FFFF00"/>
              <w:ind w:right="-1"/>
              <w:jc w:val="both"/>
              <w:rPr>
                <w:rFonts w:ascii="Arial" w:hAnsi="Arial" w:eastAsia="Arial" w:cs="Arial"/>
                <w:position w:val="0"/>
                <w:sz w:val="20"/>
                <w:sz w:val="20"/>
                <w:szCs w:val="20"/>
                <w:highlight w:val="yellow"/>
                <w:vertAlign w:val="baseline"/>
              </w:rPr>
            </w:pPr>
            <w:r>
              <w:rPr>
                <w:rFonts w:eastAsia="Arial" w:cs="Arial" w:ascii="Arial" w:hAnsi="Arial"/>
                <w:b/>
                <w:i w:val="false"/>
                <w:position w:val="0"/>
                <w:sz w:val="20"/>
                <w:sz w:val="20"/>
                <w:szCs w:val="20"/>
                <w:vertAlign w:val="baseline"/>
              </w:rPr>
              <w:t xml:space="preserve"> </w:t>
            </w:r>
            <w:r>
              <w:rPr>
                <w:rFonts w:eastAsia="Arial" w:cs="Arial" w:ascii="Arial" w:hAnsi="Arial"/>
                <w:b/>
                <w:i w:val="false"/>
                <w:position w:val="0"/>
                <w:sz w:val="20"/>
                <w:sz w:val="20"/>
                <w:szCs w:val="20"/>
                <w:vertAlign w:val="baseline"/>
              </w:rPr>
              <w:t>7.1</w:t>
            </w:r>
            <w:r>
              <w:rPr>
                <w:rFonts w:eastAsia="Arial" w:cs="Arial" w:ascii="Arial" w:hAnsi="Arial"/>
                <w:i w:val="false"/>
                <w:position w:val="0"/>
                <w:sz w:val="20"/>
                <w:sz w:val="20"/>
                <w:szCs w:val="20"/>
                <w:vertAlign w:val="baseline"/>
              </w:rPr>
              <w:t xml:space="preserve"> “Não será permitida a participação de empresas em regime de consórcio, conforme justificativa técnica e econômica constante do procedimento administrativo.”</w:t>
            </w:r>
          </w:p>
          <w:p>
            <w:pPr>
              <w:pStyle w:val="Normal1"/>
              <w:shd w:val="clear" w:fill="FFFF00"/>
              <w:ind w:right="-1"/>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tbl>
            <w:tblPr>
              <w:tblStyle w:val="Table24"/>
              <w:tblW w:w="9133" w:type="dxa"/>
              <w:jc w:val="left"/>
              <w:tblInd w:w="0" w:type="dxa"/>
              <w:tblLayout w:type="fixed"/>
              <w:tblCellMar>
                <w:top w:w="0" w:type="dxa"/>
                <w:left w:w="108" w:type="dxa"/>
                <w:bottom w:w="0" w:type="dxa"/>
                <w:right w:w="108" w:type="dxa"/>
              </w:tblCellMar>
              <w:tblLook w:val="0000"/>
            </w:tblPr>
            <w:tblGrid>
              <w:gridCol w:w="9133"/>
            </w:tblGrid>
            <w:tr>
              <w:trPr/>
              <w:tc>
                <w:tcPr>
                  <w:tcW w:w="9133"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both"/>
                    <w:rPr>
                      <w:rFonts w:ascii="Arial" w:hAnsi="Arial" w:eastAsia="Arial" w:cs="Arial"/>
                      <w:b/>
                      <w:i w:val="false"/>
                      <w:i w:val="false"/>
                      <w:caps w:val="false"/>
                      <w:smallCaps w:val="false"/>
                      <w:strike w:val="false"/>
                      <w:dstrike w:val="false"/>
                      <w:color w:val="00000A"/>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t xml:space="preserve">Nota explicativa </w:t>
                  </w: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fldChar w:fldCharType="begin"/>
                  </w:r>
                  <w:r>
                    <w:rPr>
                      <w:smallCaps w:val="false"/>
                      <w:caps w:val="false"/>
                      <w:dstrike w:val="false"/>
                      <w:strike w:val="false"/>
                      <w:vertAlign w:val="baseline"/>
                      <w:position w:val="0"/>
                      <w:sz w:val="20"/>
                      <w:sz w:val="20"/>
                      <w:i w:val="false"/>
                      <w:u w:val="none"/>
                      <w:b/>
                      <w:szCs w:val="20"/>
                      <w:highlight w:val="yellow"/>
                      <w:rFonts w:eastAsia="Arial" w:cs="Arial" w:ascii="Arial" w:hAnsi="Arial"/>
                      <w:color w:val="00000A"/>
                    </w:rPr>
                    <w:instrText xml:space="preserve"> SEQ Desenho \* ARABIC </w:instrText>
                  </w:r>
                  <w:r>
                    <w:rPr>
                      <w:smallCaps w:val="false"/>
                      <w:caps w:val="false"/>
                      <w:dstrike w:val="false"/>
                      <w:strike w:val="false"/>
                      <w:vertAlign w:val="baseline"/>
                      <w:position w:val="0"/>
                      <w:sz w:val="20"/>
                      <w:sz w:val="20"/>
                      <w:i w:val="false"/>
                      <w:u w:val="none"/>
                      <w:b/>
                      <w:szCs w:val="20"/>
                      <w:highlight w:val="yellow"/>
                      <w:rFonts w:eastAsia="Arial" w:cs="Arial" w:ascii="Arial" w:hAnsi="Arial"/>
                      <w:color w:val="00000A"/>
                    </w:rPr>
                    <w:fldChar w:fldCharType="separate"/>
                  </w:r>
                  <w:r>
                    <w:rPr>
                      <w:smallCaps w:val="false"/>
                      <w:caps w:val="false"/>
                      <w:dstrike w:val="false"/>
                      <w:strike w:val="false"/>
                      <w:vertAlign w:val="baseline"/>
                      <w:position w:val="0"/>
                      <w:sz w:val="20"/>
                      <w:sz w:val="20"/>
                      <w:i w:val="false"/>
                      <w:u w:val="none"/>
                      <w:b/>
                      <w:szCs w:val="20"/>
                      <w:highlight w:val="yellow"/>
                      <w:rFonts w:eastAsia="Arial" w:cs="Arial" w:ascii="Arial" w:hAnsi="Arial"/>
                      <w:color w:val="00000A"/>
                    </w:rPr>
                    <w:t>9</w:t>
                  </w:r>
                  <w:r>
                    <w:rPr>
                      <w:smallCaps w:val="false"/>
                      <w:caps w:val="false"/>
                      <w:dstrike w:val="false"/>
                      <w:strike w:val="false"/>
                      <w:vertAlign w:val="baseline"/>
                      <w:position w:val="0"/>
                      <w:sz w:val="20"/>
                      <w:sz w:val="20"/>
                      <w:i w:val="false"/>
                      <w:u w:val="none"/>
                      <w:b/>
                      <w:szCs w:val="20"/>
                      <w:highlight w:val="yellow"/>
                      <w:rFonts w:eastAsia="Arial" w:cs="Arial" w:ascii="Arial" w:hAnsi="Arial"/>
                      <w:color w:val="00000A"/>
                    </w:rPr>
                    <w:fldChar w:fldCharType="end"/>
                  </w: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t>:</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yellow"/>
                      <w:u w:val="none"/>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t>A participação de empresas em consórcio não implica necessariamente na ampliação da competitividade. Pode ter o efeito oposto, pois, em tese, favoreceria a dominação do mercado, a partir de acordos entre os empresários. O consórcio amplia a competitividade apenas nas hipóteses em que poucas empresas estariam aptas a preencher as condições exigidas para a licitação, seja em decorrência da complexidade do objeto e/ou das circunstâncias de mercado.</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r>
                </w:p>
                <w:p>
                  <w:pPr>
                    <w:pStyle w:val="Normal1"/>
                    <w:shd w:val="clear" w:fill="FFFF00"/>
                    <w:jc w:val="both"/>
                    <w:rPr>
                      <w:position w:val="0"/>
                      <w:sz w:val="24"/>
                      <w:sz w:val="24"/>
                      <w:vertAlign w:val="baseline"/>
                    </w:rPr>
                  </w:pPr>
                  <w:r>
                    <w:rPr>
                      <w:rFonts w:eastAsia="Arial" w:cs="Arial" w:ascii="Arial" w:hAnsi="Arial"/>
                      <w:position w:val="0"/>
                      <w:sz w:val="20"/>
                      <w:sz w:val="20"/>
                      <w:szCs w:val="20"/>
                      <w:highlight w:val="yellow"/>
                      <w:vertAlign w:val="baseline"/>
                    </w:rPr>
                    <w:t>O TCU já externou entendimento de que a concessão do tratamento diferenciado relativo ao empate ficto poderia ser concedido a consórcio de ME e EPP, desde que a soma das receitas brutas não ultrapassasse o limite de EPP (Cautelar no processo 042.183/2012-0)</w:t>
                  </w:r>
                </w:p>
                <w:p>
                  <w:pPr>
                    <w:pStyle w:val="Normal1"/>
                    <w:shd w:val="clear" w:fill="FFFF00"/>
                    <w:jc w:val="both"/>
                    <w:rPr>
                      <w:position w:val="0"/>
                      <w:sz w:val="24"/>
                      <w:sz w:val="24"/>
                      <w:vertAlign w:val="baseline"/>
                    </w:rPr>
                  </w:pPr>
                  <w:r>
                    <w:rPr>
                      <w:position w:val="0"/>
                      <w:sz w:val="24"/>
                      <w:sz w:val="24"/>
                      <w:vertAlign w:val="baseline"/>
                    </w:rPr>
                  </w:r>
                </w:p>
              </w:tc>
            </w:tr>
          </w:tbl>
          <w:p>
            <w:pPr>
              <w:pStyle w:val="Normal1"/>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ind w:right="-1"/>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pacing w:lineRule="auto" w:line="240" w:before="57" w:after="0"/>
        <w:ind w:right="-1"/>
        <w:jc w:val="both"/>
        <w:rPr>
          <w:rFonts w:ascii="Arial" w:hAnsi="Arial" w:eastAsia="Arial" w:cs="Arial"/>
          <w:position w:val="0"/>
          <w:sz w:val="24"/>
          <w:sz w:val="24"/>
          <w:vertAlign w:val="baseline"/>
        </w:rPr>
      </w:pPr>
      <w:r>
        <w:rPr>
          <w:rFonts w:eastAsia="Arial" w:cs="Arial" w:ascii="Arial" w:hAnsi="Arial"/>
          <w:b/>
          <w:position w:val="0"/>
          <w:sz w:val="20"/>
          <w:sz w:val="20"/>
          <w:szCs w:val="20"/>
          <w:highlight w:val="white"/>
          <w:vertAlign w:val="baseline"/>
        </w:rPr>
        <w:t>8 ANEXOS:</w:t>
      </w:r>
    </w:p>
    <w:p>
      <w:pPr>
        <w:pStyle w:val="Normal1"/>
        <w:ind w:right="-1"/>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25"/>
        <w:tblW w:w="9017" w:type="dxa"/>
        <w:jc w:val="left"/>
        <w:tblInd w:w="-28" w:type="dxa"/>
        <w:tblLayout w:type="fixed"/>
        <w:tblCellMar>
          <w:top w:w="0" w:type="dxa"/>
          <w:left w:w="108" w:type="dxa"/>
          <w:bottom w:w="0" w:type="dxa"/>
          <w:right w:w="108" w:type="dxa"/>
        </w:tblCellMar>
        <w:tblLook w:val="0000"/>
      </w:tblPr>
      <w:tblGrid>
        <w:gridCol w:w="1693"/>
        <w:gridCol w:w="279"/>
        <w:gridCol w:w="7045"/>
      </w:tblGrid>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ind w:hanging="0" w:left="1" w:right="0"/>
              <w:rPr>
                <w:position w:val="0"/>
                <w:sz w:val="24"/>
                <w:sz w:val="24"/>
                <w:vertAlign w:val="baseline"/>
              </w:rPr>
            </w:pPr>
            <w:r>
              <w:rPr>
                <w:rFonts w:eastAsia="Arial" w:cs="Arial" w:ascii="Arial" w:hAnsi="Arial"/>
                <w:position w:val="0"/>
                <w:sz w:val="20"/>
                <w:sz w:val="20"/>
                <w:szCs w:val="20"/>
                <w:highlight w:val="white"/>
                <w:vertAlign w:val="baseline"/>
              </w:rPr>
              <w:t>Minuta do Contrato Administrativo</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II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Minuta da Ordem de Serviço</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III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Carta Proposta de Preços</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IV</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Declaração de Microempresa ou Empresa de Pequeno Porte</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V</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Declaração de Responsabilidade Técnica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VI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Declaração de Cumprimento de Exigências Legais e Constitucionais</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VII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do Termo de Ciência das Condições Locais (Vistoria)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VIII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Declaração de Compromisso de Utilização de Produtos e Subprodutos de Madeira e de Gerenciamento de Resíduos da Construção Civil</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IX</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Declaração de Atendimento aos Requisitos de Habilitação e Capacidade Operacional Financeira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Planilha de Encargos Sociais Sobre Custos da Mão de Obra Horista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Modelo da Planilha para Cálculo do BDI</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XII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keepNext w:val="false"/>
              <w:keepLines w:val="false"/>
              <w:widowControl w:val="false"/>
              <w:shd w:val="clear" w:fill="auto"/>
              <w:spacing w:lineRule="auto" w:line="240" w:before="57" w:after="0"/>
              <w:ind w:hanging="0" w:left="72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Planilha(s) do BDI Referencial</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XIII</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Planilha(s) Orçamentária(s) de Referência</w:t>
            </w:r>
          </w:p>
        </w:tc>
      </w:tr>
      <w:tr>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XIV</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Elemento(s) Técnico(s) Instrutor(es)</w:t>
            </w:r>
          </w:p>
        </w:tc>
      </w:tr>
      <w:tr>
        <w:trPr>
          <w:trHeight w:val="40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XV</w:t>
            </w:r>
          </w:p>
        </w:tc>
        <w:tc>
          <w:tcPr>
            <w:tcW w:w="279" w:type="dxa"/>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7045" w:type="dxa"/>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Documentos de Habilitação</w:t>
            </w:r>
          </w:p>
        </w:tc>
      </w:tr>
      <w:tr>
        <w:trPr>
          <w:trHeight w:val="400" w:hRule="atLeast"/>
        </w:trPr>
        <w:tc>
          <w:tcPr>
            <w:tcW w:w="1693" w:type="dxa"/>
            <w:tcBorders/>
            <w:shd w:fill="auto" w:val="clear"/>
          </w:tcPr>
          <w:p>
            <w:pPr>
              <w:pStyle w:val="Normal1"/>
              <w:widowControl w:val="false"/>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Anexo XVI</w:t>
            </w:r>
          </w:p>
        </w:tc>
        <w:tc>
          <w:tcPr>
            <w:tcW w:w="279" w:type="dxa"/>
            <w:tcBorders/>
            <w:shd w:fill="auto" w:val="clea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Declaração de LGPD</w:t>
            </w:r>
          </w:p>
        </w:tc>
      </w:tr>
    </w:tbl>
    <w:p>
      <w:pPr>
        <w:pStyle w:val="Normal1"/>
        <w:ind w:right="-1"/>
        <w:rPr>
          <w:rFonts w:ascii="Arial" w:hAnsi="Arial" w:eastAsia="Arial" w:cs="Arial"/>
          <w:position w:val="0"/>
          <w:sz w:val="24"/>
          <w:sz w:val="24"/>
          <w:vertAlign w:val="baseline"/>
        </w:rPr>
      </w:pPr>
      <w:r>
        <w:rPr>
          <w:rFonts w:eastAsia="Arial" w:cs="Arial" w:ascii="Arial" w:hAnsi="Arial"/>
          <w:position w:val="0"/>
          <w:sz w:val="24"/>
          <w:sz w:val="24"/>
          <w:vertAlign w:val="baseline"/>
        </w:rPr>
      </w:r>
      <w:r>
        <w:br w:type="page"/>
      </w:r>
    </w:p>
    <w:p>
      <w:pPr>
        <w:pStyle w:val="Normal1"/>
        <w:spacing w:lineRule="auto" w:line="240" w:before="0" w:after="0"/>
        <w:ind w:right="-1"/>
        <w:jc w:val="center"/>
        <w:rPr>
          <w:rFonts w:ascii="Arial" w:hAnsi="Arial" w:eastAsia="Arial" w:cs="Arial"/>
          <w:b/>
          <w:position w:val="0"/>
          <w:sz w:val="28"/>
          <w:sz w:val="28"/>
          <w:szCs w:val="28"/>
          <w:highlight w:val="white"/>
          <w:u w:val="single"/>
          <w:vertAlign w:val="baseline"/>
        </w:rPr>
      </w:pPr>
      <w:r>
        <w:rPr>
          <w:rFonts w:eastAsia="Arial" w:cs="Arial" w:ascii="Arial" w:hAnsi="Arial"/>
          <w:b/>
          <w:position w:val="0"/>
          <w:sz w:val="28"/>
          <w:sz w:val="28"/>
          <w:szCs w:val="28"/>
          <w:highlight w:val="white"/>
          <w:u w:val="single"/>
          <w:vertAlign w:val="baseline"/>
        </w:rPr>
      </w:r>
    </w:p>
    <w:p>
      <w:pPr>
        <w:pStyle w:val="Normal1"/>
        <w:spacing w:lineRule="auto" w:line="240" w:before="57" w:after="0"/>
        <w:ind w:right="-1"/>
        <w:jc w:val="center"/>
        <w:rPr>
          <w:rFonts w:ascii="Arial" w:hAnsi="Arial" w:eastAsia="Arial" w:cs="Arial"/>
          <w:b/>
          <w:position w:val="0"/>
          <w:sz w:val="28"/>
          <w:sz w:val="28"/>
          <w:szCs w:val="28"/>
          <w:highlight w:val="white"/>
          <w:u w:val="single"/>
          <w:vertAlign w:val="baseline"/>
        </w:rPr>
      </w:pPr>
      <w:r>
        <w:rPr>
          <w:rFonts w:eastAsia="Arial" w:cs="Arial" w:ascii="Arial" w:hAnsi="Arial"/>
          <w:b/>
          <w:position w:val="0"/>
          <w:sz w:val="28"/>
          <w:sz w:val="28"/>
          <w:szCs w:val="28"/>
          <w:highlight w:val="white"/>
          <w:u w:val="single"/>
          <w:vertAlign w:val="baseline"/>
        </w:rPr>
        <w:t>CONDIÇÕES GERAIS DO PREGÃO ELETRÔNICO</w:t>
      </w:r>
    </w:p>
    <w:p>
      <w:pPr>
        <w:pStyle w:val="Normal1"/>
        <w:spacing w:lineRule="auto" w:line="240" w:before="57" w:after="0"/>
        <w:ind w:right="-1"/>
        <w:jc w:val="center"/>
        <w:rPr>
          <w:rFonts w:ascii="Arial" w:hAnsi="Arial" w:eastAsia="Arial" w:cs="Arial"/>
          <w:b/>
          <w:position w:val="0"/>
          <w:sz w:val="28"/>
          <w:sz w:val="28"/>
          <w:szCs w:val="28"/>
          <w:highlight w:val="white"/>
          <w:u w:val="single"/>
          <w:vertAlign w:val="baseline"/>
        </w:rPr>
      </w:pPr>
      <w:r>
        <w:rPr>
          <w:rFonts w:eastAsia="Arial" w:cs="Arial" w:ascii="Arial" w:hAnsi="Arial"/>
          <w:b/>
          <w:position w:val="0"/>
          <w:sz w:val="28"/>
          <w:sz w:val="28"/>
          <w:szCs w:val="28"/>
          <w:highlight w:val="white"/>
          <w:u w:val="single"/>
          <w:vertAlign w:val="baseline"/>
        </w:rPr>
      </w:r>
    </w:p>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 A REALIZAÇÃO DO PREGÃO</w:t>
      </w:r>
    </w:p>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1.1 </w:t>
      </w:r>
      <w:r>
        <w:rPr>
          <w:rFonts w:eastAsia="Arial" w:cs="Arial" w:ascii="Arial" w:hAnsi="Arial"/>
          <w:position w:val="0"/>
          <w:sz w:val="20"/>
          <w:sz w:val="20"/>
          <w:szCs w:val="20"/>
          <w:highlight w:val="white"/>
          <w:vertAlign w:val="baseline"/>
        </w:rPr>
        <w:t>O pregão será realizado por meio eletrônico, no sistema de compras eletrônicas do [</w:t>
      </w:r>
      <w:r>
        <w:rPr>
          <w:rFonts w:eastAsia="Arial" w:cs="Arial" w:ascii="Arial" w:hAnsi="Arial"/>
          <w:position w:val="0"/>
          <w:sz w:val="20"/>
          <w:sz w:val="20"/>
          <w:szCs w:val="20"/>
          <w:highlight w:val="yellow"/>
          <w:u w:val="single"/>
          <w:vertAlign w:val="baseline"/>
        </w:rPr>
        <w:t>XXXXXXXXX</w:t>
      </w:r>
      <w:r>
        <w:rPr>
          <w:rFonts w:eastAsia="Arial" w:cs="Arial" w:ascii="Arial" w:hAnsi="Arial"/>
          <w:position w:val="0"/>
          <w:sz w:val="20"/>
          <w:sz w:val="20"/>
          <w:szCs w:val="20"/>
          <w:vertAlign w:val="baseline"/>
        </w:rPr>
        <w:t>]</w:t>
      </w:r>
      <w:r>
        <w:rPr>
          <w:rFonts w:eastAsia="Arial" w:cs="Arial" w:ascii="Arial" w:hAnsi="Arial"/>
          <w:position w:val="0"/>
          <w:sz w:val="20"/>
          <w:sz w:val="20"/>
          <w:szCs w:val="20"/>
          <w:highlight w:val="white"/>
          <w:vertAlign w:val="baseline"/>
        </w:rPr>
        <w:t xml:space="preserve">, na página </w:t>
      </w:r>
      <w:r>
        <w:rPr>
          <w:rFonts w:eastAsia="Arial" w:cs="Arial" w:ascii="Arial" w:hAnsi="Arial"/>
          <w:color w:val="C9211E"/>
          <w:position w:val="0"/>
          <w:sz w:val="20"/>
          <w:sz w:val="20"/>
          <w:szCs w:val="20"/>
          <w:highlight w:val="white"/>
          <w:vertAlign w:val="baseline"/>
        </w:rPr>
        <w:t>[</w:t>
      </w:r>
      <w:r>
        <w:rPr>
          <w:rFonts w:eastAsia="Arial" w:cs="Arial" w:ascii="Arial" w:hAnsi="Arial"/>
          <w:color w:val="C9211E"/>
          <w:position w:val="0"/>
          <w:sz w:val="20"/>
          <w:sz w:val="20"/>
          <w:szCs w:val="20"/>
          <w:highlight w:val="yellow"/>
          <w:u w:val="single"/>
          <w:vertAlign w:val="baseline"/>
        </w:rPr>
        <w:t>XXXXXXXXX</w:t>
      </w:r>
      <w:r>
        <w:rPr>
          <w:rFonts w:eastAsia="Arial" w:cs="Arial" w:ascii="Arial" w:hAnsi="Arial"/>
          <w:color w:val="C9211E"/>
          <w:position w:val="0"/>
          <w:sz w:val="20"/>
          <w:sz w:val="20"/>
          <w:szCs w:val="20"/>
          <w:vertAlign w:val="baseline"/>
        </w:rPr>
        <w:t>]</w:t>
      </w:r>
      <w:r>
        <w:rPr>
          <w:rFonts w:eastAsia="Arial" w:cs="Arial" w:ascii="Arial" w:hAnsi="Arial"/>
          <w:color w:val="C9211E"/>
          <w:position w:val="0"/>
          <w:sz w:val="20"/>
          <w:sz w:val="20"/>
          <w:szCs w:val="20"/>
          <w:highlight w:val="white"/>
          <w:vertAlign w:val="baseline"/>
        </w:rPr>
        <w:t>.</w:t>
      </w:r>
    </w:p>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1.2 </w:t>
      </w:r>
      <w:r>
        <w:rPr>
          <w:rFonts w:eastAsia="Arial" w:cs="Arial" w:ascii="Arial" w:hAnsi="Arial"/>
          <w:position w:val="0"/>
          <w:sz w:val="20"/>
          <w:sz w:val="20"/>
          <w:szCs w:val="20"/>
          <w:highlight w:val="white"/>
          <w:vertAlign w:val="baseline"/>
        </w:rPr>
        <w:t>O pregão será conduzido por servidor(a) público(a) denominado(a) pregoeiro(a), mediante a inserção e o monitoramento de dados gerados ou transferidos para o sistema de compras eletrônicas adotado pela Administração estadual</w:t>
      </w:r>
      <w:r>
        <w:rPr>
          <w:position w:val="0"/>
          <w:sz w:val="28"/>
          <w:sz w:val="28"/>
          <w:szCs w:val="28"/>
          <w:vertAlign w:val="baseline"/>
        </w:rPr>
        <w:t xml:space="preserve"> </w:t>
      </w:r>
      <w:r>
        <w:rPr>
          <w:rFonts w:eastAsia="Arial" w:cs="Arial" w:ascii="Arial" w:hAnsi="Arial"/>
          <w:position w:val="0"/>
          <w:sz w:val="20"/>
          <w:sz w:val="20"/>
          <w:szCs w:val="20"/>
          <w:highlight w:val="white"/>
          <w:vertAlign w:val="baseline"/>
        </w:rPr>
        <w:t>[</w:t>
      </w:r>
      <w:r>
        <w:rPr>
          <w:rFonts w:eastAsia="Arial" w:cs="Arial" w:ascii="Arial" w:hAnsi="Arial"/>
          <w:position w:val="0"/>
          <w:sz w:val="20"/>
          <w:sz w:val="20"/>
          <w:szCs w:val="20"/>
          <w:highlight w:val="yellow"/>
          <w:u w:val="single"/>
          <w:vertAlign w:val="baseline"/>
        </w:rPr>
        <w:t>XXXXXXXXX</w:t>
      </w:r>
      <w:r>
        <w:rPr>
          <w:rFonts w:eastAsia="Arial" w:cs="Arial" w:ascii="Arial" w:hAnsi="Arial"/>
          <w:position w:val="0"/>
          <w:sz w:val="20"/>
          <w:sz w:val="20"/>
          <w:szCs w:val="20"/>
          <w:vertAlign w:val="baseline"/>
        </w:rPr>
        <w:t>].</w:t>
      </w:r>
    </w:p>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1.3 </w:t>
      </w:r>
      <w:r>
        <w:rPr>
          <w:rFonts w:eastAsia="Arial" w:cs="Arial" w:ascii="Arial" w:hAnsi="Arial"/>
          <w:position w:val="0"/>
          <w:sz w:val="20"/>
          <w:sz w:val="20"/>
          <w:szCs w:val="20"/>
          <w:highlight w:val="white"/>
          <w:vertAlign w:val="baseline"/>
        </w:rPr>
        <w:t>O(a) pregoeiro(a) exercerá as atribuições previstas no artigo 4.º do Decreto n.º 10.086, de 2022.</w:t>
      </w:r>
    </w:p>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1.4 </w:t>
      </w:r>
      <w:r>
        <w:rPr>
          <w:rFonts w:eastAsia="Arial" w:cs="Arial" w:ascii="Arial" w:hAnsi="Arial"/>
          <w:position w:val="0"/>
          <w:sz w:val="20"/>
          <w:sz w:val="20"/>
          <w:szCs w:val="20"/>
          <w:highlight w:val="white"/>
          <w:vertAlign w:val="baseline"/>
        </w:rPr>
        <w:t>Para acesso ao sistema de compras eletrônicas, os interessados deverão se credenciar e obter chave de identificação e senha pessoal do sistema de compras eletrônicas adotado pela Administração estadual</w:t>
      </w:r>
      <w:r>
        <w:rPr>
          <w:position w:val="0"/>
          <w:sz w:val="28"/>
          <w:sz w:val="28"/>
          <w:szCs w:val="28"/>
          <w:highlight w:val="white"/>
          <w:vertAlign w:val="baseline"/>
        </w:rPr>
        <w:t xml:space="preserve"> </w:t>
      </w:r>
      <w:r>
        <w:rPr>
          <w:rFonts w:eastAsia="Arial" w:cs="Arial" w:ascii="Arial" w:hAnsi="Arial"/>
          <w:position w:val="0"/>
          <w:sz w:val="20"/>
          <w:sz w:val="20"/>
          <w:szCs w:val="20"/>
          <w:highlight w:val="white"/>
          <w:vertAlign w:val="baseline"/>
        </w:rPr>
        <w:t>[</w:t>
      </w:r>
      <w:r>
        <w:rPr>
          <w:rFonts w:eastAsia="Arial" w:cs="Arial" w:ascii="Arial" w:hAnsi="Arial"/>
          <w:position w:val="0"/>
          <w:sz w:val="20"/>
          <w:sz w:val="20"/>
          <w:szCs w:val="20"/>
          <w:highlight w:val="yellow"/>
          <w:u w:val="single"/>
          <w:vertAlign w:val="baseline"/>
        </w:rPr>
        <w:t>XXXXXXXXX</w:t>
      </w:r>
      <w:r>
        <w:rPr>
          <w:rFonts w:eastAsia="Arial" w:cs="Arial" w:ascii="Arial" w:hAnsi="Arial"/>
          <w:position w:val="0"/>
          <w:sz w:val="20"/>
          <w:sz w:val="20"/>
          <w:szCs w:val="20"/>
          <w:vertAlign w:val="baseline"/>
        </w:rPr>
        <w:t>]</w:t>
      </w:r>
      <w:r>
        <w:rPr>
          <w:rFonts w:eastAsia="Arial" w:cs="Arial" w:ascii="Arial" w:hAnsi="Arial"/>
          <w:position w:val="0"/>
          <w:sz w:val="20"/>
          <w:sz w:val="20"/>
          <w:szCs w:val="20"/>
          <w:highlight w:val="white"/>
          <w:vertAlign w:val="baseline"/>
        </w:rPr>
        <w:t>, conforme instruções que podem ser obtidas na página  [</w:t>
      </w:r>
      <w:r>
        <w:rPr>
          <w:rFonts w:eastAsia="Arial" w:cs="Arial" w:ascii="Arial" w:hAnsi="Arial"/>
          <w:position w:val="0"/>
          <w:sz w:val="20"/>
          <w:sz w:val="20"/>
          <w:szCs w:val="20"/>
          <w:highlight w:val="yellow"/>
          <w:u w:val="single"/>
          <w:vertAlign w:val="baseline"/>
        </w:rPr>
        <w:t>XXXXXXXXX</w:t>
      </w:r>
      <w:r>
        <w:rPr>
          <w:rFonts w:eastAsia="Arial" w:cs="Arial" w:ascii="Arial" w:hAnsi="Arial"/>
          <w:position w:val="0"/>
          <w:sz w:val="20"/>
          <w:sz w:val="20"/>
          <w:szCs w:val="20"/>
          <w:vertAlign w:val="baseline"/>
        </w:rPr>
        <w:t>]</w:t>
      </w:r>
      <w:r>
        <w:rPr>
          <w:rFonts w:eastAsia="Arial" w:cs="Arial" w:ascii="Arial" w:hAnsi="Arial"/>
          <w:position w:val="0"/>
          <w:sz w:val="20"/>
          <w:sz w:val="20"/>
          <w:szCs w:val="20"/>
          <w:highlight w:val="white"/>
          <w:vertAlign w:val="baseline"/>
        </w:rPr>
        <w:t xml:space="preserve"> ou, ainda, por meio dos telef</w:t>
      </w:r>
      <w:r>
        <w:rPr>
          <w:rFonts w:eastAsia="Arial" w:cs="Arial" w:ascii="Arial" w:hAnsi="Arial"/>
          <w:position w:val="0"/>
          <w:sz w:val="20"/>
          <w:sz w:val="20"/>
          <w:szCs w:val="20"/>
          <w:vertAlign w:val="baseline"/>
        </w:rPr>
        <w:t xml:space="preserve">ones </w:t>
      </w:r>
      <w:r>
        <w:rPr>
          <w:rFonts w:eastAsia="Arial" w:cs="Arial" w:ascii="Arial" w:hAnsi="Arial"/>
          <w:position w:val="0"/>
          <w:sz w:val="20"/>
          <w:sz w:val="20"/>
          <w:szCs w:val="20"/>
          <w:highlight w:val="white"/>
          <w:vertAlign w:val="baseline"/>
        </w:rPr>
        <w:t xml:space="preserve"> [</w:t>
      </w:r>
      <w:r>
        <w:rPr>
          <w:rFonts w:eastAsia="Arial" w:cs="Arial" w:ascii="Arial" w:hAnsi="Arial"/>
          <w:position w:val="0"/>
          <w:sz w:val="20"/>
          <w:sz w:val="20"/>
          <w:szCs w:val="20"/>
          <w:highlight w:val="yellow"/>
          <w:u w:val="single"/>
          <w:vertAlign w:val="baseline"/>
        </w:rPr>
        <w:t>XXXXXXXXX</w:t>
      </w:r>
      <w:r>
        <w:rPr>
          <w:rFonts w:eastAsia="Arial" w:cs="Arial" w:ascii="Arial" w:hAnsi="Arial"/>
          <w:position w:val="0"/>
          <w:sz w:val="20"/>
          <w:sz w:val="20"/>
          <w:szCs w:val="20"/>
          <w:vertAlign w:val="baseline"/>
        </w:rPr>
        <w:t xml:space="preserve">] </w:t>
      </w:r>
      <w:r>
        <w:rPr>
          <w:rFonts w:eastAsia="Arial" w:cs="Arial" w:ascii="Arial" w:hAnsi="Arial"/>
          <w:color w:val="000000"/>
          <w:position w:val="0"/>
          <w:sz w:val="20"/>
          <w:sz w:val="20"/>
          <w:szCs w:val="20"/>
          <w:vertAlign w:val="baseline"/>
        </w:rPr>
        <w:t xml:space="preserve">para Capitais e Regiões Metropolitanas e </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highlight w:val="yellow"/>
          <w:u w:val="single"/>
          <w:vertAlign w:val="baseline"/>
        </w:rPr>
        <w:t>XXXXXXXXX</w:t>
      </w:r>
      <w:r>
        <w:rPr>
          <w:rFonts w:eastAsia="Arial" w:cs="Arial" w:ascii="Arial" w:hAnsi="Arial"/>
          <w:color w:val="000000"/>
          <w:position w:val="0"/>
          <w:sz w:val="20"/>
          <w:sz w:val="20"/>
          <w:szCs w:val="20"/>
          <w:vertAlign w:val="baseline"/>
        </w:rPr>
        <w:t>] para demais localidades (suporte técnico).</w:t>
      </w:r>
    </w:p>
    <w:p>
      <w:pPr>
        <w:pStyle w:val="Normal1"/>
        <w:spacing w:lineRule="auto" w:line="240" w:before="57" w:after="0"/>
        <w:ind w:hanging="0" w:left="9" w:right="-55"/>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1.4.1 </w:t>
      </w:r>
      <w:r>
        <w:rPr>
          <w:rFonts w:eastAsia="Arial" w:cs="Arial" w:ascii="Arial" w:hAnsi="Arial"/>
          <w:position w:val="0"/>
          <w:sz w:val="20"/>
          <w:sz w:val="20"/>
          <w:szCs w:val="20"/>
          <w:highlight w:val="white"/>
          <w:vertAlign w:val="baseline"/>
        </w:rPr>
        <w:t>O credenciamento do interessado e de seu representante junto ao sistema de compras eletrônicas adotado pela Administração estadual [</w:t>
      </w:r>
      <w:r>
        <w:rPr>
          <w:rFonts w:eastAsia="Arial" w:cs="Arial" w:ascii="Arial" w:hAnsi="Arial"/>
          <w:position w:val="0"/>
          <w:sz w:val="20"/>
          <w:sz w:val="20"/>
          <w:szCs w:val="20"/>
          <w:highlight w:val="yellow"/>
          <w:u w:val="single"/>
          <w:vertAlign w:val="baseline"/>
        </w:rPr>
        <w:t>XXXXXXXXX</w:t>
      </w: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highlight w:val="white"/>
          <w:vertAlign w:val="baseline"/>
        </w:rPr>
        <w:t>implica a sua responsabilidade legal pelos atos praticados e presunção de capacidade para a realização das transações inerentes ao pregão eletrônico.</w:t>
      </w:r>
    </w:p>
    <w:p>
      <w:pPr>
        <w:pStyle w:val="Normal1"/>
        <w:spacing w:lineRule="auto" w:line="240" w:before="57" w:after="0"/>
        <w:ind w:hanging="0" w:left="9" w:right="-55"/>
        <w:jc w:val="both"/>
        <w:rPr>
          <w:position w:val="0"/>
          <w:sz w:val="24"/>
          <w:sz w:val="24"/>
          <w:vertAlign w:val="baseline"/>
        </w:rPr>
      </w:pPr>
      <w:r>
        <w:rPr>
          <w:rFonts w:eastAsia="Arial" w:cs="Arial" w:ascii="Arial" w:hAnsi="Arial"/>
          <w:b/>
          <w:position w:val="0"/>
          <w:sz w:val="20"/>
          <w:sz w:val="20"/>
          <w:szCs w:val="20"/>
          <w:highlight w:val="white"/>
          <w:vertAlign w:val="baseline"/>
        </w:rPr>
        <w:t xml:space="preserve">1.5 </w:t>
      </w:r>
      <w:r>
        <w:rPr>
          <w:rFonts w:eastAsia="Arial" w:cs="Arial" w:ascii="Arial" w:hAnsi="Arial"/>
          <w:position w:val="0"/>
          <w:sz w:val="20"/>
          <w:sz w:val="20"/>
          <w:szCs w:val="20"/>
          <w:highlight w:val="white"/>
          <w:vertAlign w:val="baseline"/>
        </w:rPr>
        <w:t>Cabe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spacing w:lineRule="auto" w:line="240" w:before="57" w:after="0"/>
        <w:ind w:hanging="0" w:left="9" w:right="-55"/>
        <w:jc w:val="both"/>
        <w:rPr>
          <w:position w:val="0"/>
          <w:sz w:val="24"/>
          <w:sz w:val="24"/>
          <w:vertAlign w:val="baseline"/>
        </w:rPr>
      </w:pPr>
      <w:r>
        <w:rPr>
          <w:position w:val="0"/>
          <w:sz w:val="24"/>
          <w:sz w:val="24"/>
          <w:vertAlign w:val="baseline"/>
        </w:rPr>
      </w:r>
    </w:p>
    <w:tbl>
      <w:tblPr>
        <w:tblStyle w:val="Table26"/>
        <w:tblW w:w="9082" w:type="dxa"/>
        <w:jc w:val="left"/>
        <w:tblInd w:w="-55" w:type="dxa"/>
        <w:tblLayout w:type="fixed"/>
        <w:tblCellMar>
          <w:top w:w="0" w:type="dxa"/>
          <w:left w:w="108" w:type="dxa"/>
          <w:bottom w:w="0" w:type="dxa"/>
          <w:right w:w="108" w:type="dxa"/>
        </w:tblCellMar>
        <w:tblLook w:val="0000"/>
      </w:tblPr>
      <w:tblGrid>
        <w:gridCol w:w="9082"/>
      </w:tblGrid>
      <w:tr>
        <w:trPr/>
        <w:tc>
          <w:tcPr>
            <w:tcW w:w="9082"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10</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endereço eletrônico para recebimento e abertura de propostas [</w:t>
            </w:r>
            <w:r>
              <w:rPr>
                <w:rFonts w:eastAsia="Arial" w:cs="Arial" w:ascii="Arial" w:hAnsi="Arial"/>
                <w:b w:val="false"/>
                <w:i w:val="false"/>
                <w:caps w:val="false"/>
                <w:smallCaps w:val="false"/>
                <w:strike w:val="false"/>
                <w:dstrike w:val="false"/>
                <w:color w:val="000000"/>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pode ser adequado de acordo com o sistema adotado pelo Órgão/Entidade Estadual, podendo ser adequada a redação dos itens 1.1, 1.2, 1.4 e 1.4.1.</w:t>
            </w:r>
          </w:p>
          <w:p>
            <w:pPr>
              <w:pStyle w:val="Normal1"/>
              <w:keepNext w:val="false"/>
              <w:keepLines w:val="false"/>
              <w:widowControl/>
              <w:shd w:val="clear" w:fill="FFFF00"/>
              <w:tabs>
                <w:tab w:val="left" w:pos="720" w:leader="none"/>
              </w:tabs>
              <w:spacing w:lineRule="auto" w:line="240" w:before="0" w:after="57"/>
              <w:ind w:hanging="0"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spacing w:lineRule="auto" w:line="240" w:before="57" w:after="0"/>
        <w:ind w:hanging="0" w:left="9" w:right="-55"/>
        <w:jc w:val="both"/>
        <w:rPr>
          <w:position w:val="0"/>
          <w:sz w:val="24"/>
          <w:sz w:val="24"/>
          <w:vertAlign w:val="baseline"/>
        </w:rPr>
      </w:pPr>
      <w:r>
        <w:rPr>
          <w:position w:val="0"/>
          <w:sz w:val="24"/>
          <w:sz w:val="24"/>
          <w:vertAlign w:val="baseline"/>
        </w:rPr>
      </w:r>
    </w:p>
    <w:p>
      <w:pPr>
        <w:pStyle w:val="Normal1"/>
        <w:spacing w:lineRule="auto" w:line="240" w:before="57" w:after="0"/>
        <w:ind w:hanging="0" w:left="9" w:right="-55"/>
        <w:jc w:val="both"/>
        <w:rPr>
          <w:position w:val="0"/>
          <w:sz w:val="24"/>
          <w:sz w:val="24"/>
          <w:vertAlign w:val="baseline"/>
        </w:rPr>
      </w:pPr>
      <w:r>
        <w:rPr>
          <w:rFonts w:eastAsia="Arial" w:cs="Arial" w:ascii="Arial" w:hAnsi="Arial"/>
          <w:b/>
          <w:position w:val="0"/>
          <w:sz w:val="20"/>
          <w:sz w:val="20"/>
          <w:szCs w:val="20"/>
          <w:highlight w:val="white"/>
          <w:vertAlign w:val="baseline"/>
        </w:rPr>
        <w:t>2</w:t>
      </w:r>
      <w:r>
        <w:rPr>
          <w:rFonts w:eastAsia="Arial" w:cs="Arial" w:ascii="Arial" w:hAnsi="Arial"/>
          <w:position w:val="0"/>
          <w:sz w:val="20"/>
          <w:sz w:val="20"/>
          <w:szCs w:val="20"/>
          <w:highlight w:val="white"/>
          <w:vertAlign w:val="baseline"/>
        </w:rPr>
        <w:t xml:space="preserve"> </w:t>
      </w:r>
      <w:r>
        <w:rPr>
          <w:rFonts w:eastAsia="Arial" w:cs="Arial" w:ascii="Arial" w:hAnsi="Arial"/>
          <w:b/>
          <w:position w:val="0"/>
          <w:sz w:val="20"/>
          <w:sz w:val="20"/>
          <w:szCs w:val="20"/>
          <w:highlight w:val="white"/>
          <w:vertAlign w:val="baseline"/>
        </w:rPr>
        <w:t>EXIGÊNCIAS PARA PARTICIPAÇÃO</w:t>
      </w:r>
    </w:p>
    <w:p>
      <w:pPr>
        <w:pStyle w:val="Normal1"/>
        <w:spacing w:lineRule="auto" w:line="240" w:before="57" w:after="0"/>
        <w:ind w:hanging="0" w:left="9" w:right="-55"/>
        <w:jc w:val="both"/>
        <w:rPr>
          <w:position w:val="0"/>
          <w:sz w:val="24"/>
          <w:sz w:val="24"/>
          <w:vertAlign w:val="baseline"/>
        </w:rPr>
      </w:pPr>
      <w:r>
        <w:rPr>
          <w:position w:val="0"/>
          <w:sz w:val="24"/>
          <w:sz w:val="24"/>
          <w:vertAlign w:val="baseline"/>
        </w:rPr>
      </w:r>
    </w:p>
    <w:tbl>
      <w:tblPr>
        <w:tblStyle w:val="Table27"/>
        <w:tblW w:w="9082" w:type="dxa"/>
        <w:jc w:val="left"/>
        <w:tblInd w:w="-55" w:type="dxa"/>
        <w:tblLayout w:type="fixed"/>
        <w:tblCellMar>
          <w:top w:w="0" w:type="dxa"/>
          <w:left w:w="108" w:type="dxa"/>
          <w:bottom w:w="0" w:type="dxa"/>
          <w:right w:w="108" w:type="dxa"/>
        </w:tblCellMar>
        <w:tblLook w:val="0000"/>
      </w:tblPr>
      <w:tblGrid>
        <w:gridCol w:w="9082"/>
      </w:tblGrid>
      <w:tr>
        <w:trPr/>
        <w:tc>
          <w:tcPr>
            <w:tcW w:w="9082"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Nota explicativa </w:t>
            </w:r>
            <w:r>
              <w:rPr>
                <w:rFonts w:eastAsia="Arial" w:cs="Arial" w:ascii="Arial" w:hAnsi="Arial"/>
                <w:b/>
                <w:color w:val="000000"/>
                <w:position w:val="0"/>
                <w:sz w:val="20"/>
                <w:sz w:val="20"/>
                <w:szCs w:val="20"/>
                <w:vertAlign w:val="baseline"/>
              </w:rPr>
              <w:fldChar w:fldCharType="begin"/>
            </w:r>
            <w:r>
              <w:rPr>
                <w:vertAlign w:val="baseline"/>
                <w:position w:val="0"/>
                <w:sz w:val="20"/>
                <w:sz w:val="20"/>
                <w:b/>
                <w:szCs w:val="20"/>
                <w:rFonts w:eastAsia="Arial" w:cs="Arial" w:ascii="Arial" w:hAnsi="Arial"/>
                <w:color w:val="000000"/>
              </w:rPr>
              <w:instrText xml:space="preserve"> SEQ Desenho \* ARABIC </w:instrText>
            </w:r>
            <w:r>
              <w:rPr>
                <w:vertAlign w:val="baseline"/>
                <w:position w:val="0"/>
                <w:sz w:val="20"/>
                <w:sz w:val="20"/>
                <w:b/>
                <w:szCs w:val="20"/>
                <w:rFonts w:eastAsia="Arial" w:cs="Arial" w:ascii="Arial" w:hAnsi="Arial"/>
                <w:color w:val="000000"/>
              </w:rPr>
              <w:fldChar w:fldCharType="separate"/>
            </w:r>
            <w:r>
              <w:rPr>
                <w:vertAlign w:val="baseline"/>
                <w:position w:val="0"/>
                <w:sz w:val="20"/>
                <w:sz w:val="20"/>
                <w:b/>
                <w:szCs w:val="20"/>
                <w:rFonts w:eastAsia="Arial" w:cs="Arial" w:ascii="Arial" w:hAnsi="Arial"/>
                <w:color w:val="000000"/>
              </w:rPr>
              <w:t>11</w:t>
            </w:r>
            <w:r>
              <w:rPr>
                <w:vertAlign w:val="baseline"/>
                <w:position w:val="0"/>
                <w:sz w:val="20"/>
                <w:sz w:val="20"/>
                <w:b/>
                <w:szCs w:val="20"/>
                <w:rFonts w:eastAsia="Arial" w:cs="Arial" w:ascii="Arial" w:hAnsi="Arial"/>
                <w:color w:val="000000"/>
              </w:rPr>
              <w:fldChar w:fldCharType="end"/>
            </w:r>
            <w:r>
              <w:rPr>
                <w:rFonts w:eastAsia="Arial" w:cs="Arial" w:ascii="Arial" w:hAnsi="Arial"/>
                <w:b/>
                <w:color w:val="000000"/>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artigo 87, § 3.º da Lei Federal n.º 14.133/2021 estabelece que a Administração poderá realizar licitação restrita a cadastrados no PNCP.</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Caso a Administração opte por restringir a licitação aos licitantes cadastrados no PNCP deverá ser utilizada a seguinte redação: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2.1</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Poderão participar deste Pregão, pessoas físicas ou jurídicas que se enquadrem como microempresa ou empresa de pequeno porte, nos termos da Lei Complementar Federal nº 123, de 2006, com ramo de atuação pertinente ao objeto da licitação, que estejam com cadastro regular no Portal Nacional de Contratações Pública – PNCP e que apresentem os documentos exigidos para habilitação.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Caso a Administração opte por não restringir a licitação aos licitantes cadastrados no PNCP deverá ser utilizada a seguinte redação:</w:t>
            </w:r>
          </w:p>
          <w:p>
            <w:pPr>
              <w:pStyle w:val="Normal1"/>
              <w:shd w:val="clear" w:fill="FFFF00"/>
              <w:spacing w:lineRule="auto" w:line="240" w:before="57" w:after="0"/>
              <w:ind w:hanging="0" w:left="9" w:right="-55"/>
              <w:jc w:val="both"/>
              <w:rPr>
                <w:position w:val="0"/>
                <w:sz w:val="24"/>
                <w:sz w:val="24"/>
                <w:vertAlign w:val="baseline"/>
              </w:rPr>
            </w:pPr>
            <w:r>
              <w:rPr>
                <w:rFonts w:eastAsia="Arial" w:cs="Arial" w:ascii="Arial" w:hAnsi="Arial"/>
                <w:b/>
                <w:color w:val="000000"/>
                <w:position w:val="0"/>
                <w:sz w:val="20"/>
                <w:sz w:val="20"/>
                <w:szCs w:val="20"/>
                <w:highlight w:val="yellow"/>
                <w:vertAlign w:val="baseline"/>
              </w:rPr>
              <w:t>2.1</w:t>
            </w:r>
            <w:r>
              <w:rPr>
                <w:rFonts w:eastAsia="Arial" w:cs="Arial" w:ascii="Arial" w:hAnsi="Arial"/>
                <w:color w:val="000000"/>
                <w:position w:val="0"/>
                <w:sz w:val="20"/>
                <w:sz w:val="20"/>
                <w:szCs w:val="20"/>
                <w:highlight w:val="yellow"/>
                <w:vertAlign w:val="baseline"/>
              </w:rPr>
              <w:t xml:space="preserve"> Poderão participar </w:t>
            </w:r>
            <w:r>
              <w:rPr>
                <w:rFonts w:eastAsia="Arial" w:cs="Arial" w:ascii="Arial" w:hAnsi="Arial"/>
                <w:position w:val="0"/>
                <w:sz w:val="20"/>
                <w:sz w:val="20"/>
                <w:szCs w:val="20"/>
                <w:highlight w:val="yellow"/>
                <w:vertAlign w:val="baseline"/>
              </w:rPr>
              <w:t>deste Pregão,</w:t>
            </w:r>
            <w:r>
              <w:rPr>
                <w:rFonts w:eastAsia="Arial" w:cs="Arial" w:ascii="Arial" w:hAnsi="Arial"/>
                <w:color w:val="000000"/>
                <w:position w:val="0"/>
                <w:sz w:val="20"/>
                <w:sz w:val="20"/>
                <w:szCs w:val="20"/>
                <w:highlight w:val="yellow"/>
                <w:vertAlign w:val="baseline"/>
              </w:rPr>
              <w:t xml:space="preserve"> pessoas físicas ou jurídicas que se enquadrem como microempresa ou empresa de pequeno porte, nos termos da Lei Complementar Federal nº 123, de 2006, com ramo de atuação pertinente ao objeto da licitação.</w:t>
            </w:r>
          </w:p>
          <w:p>
            <w:pPr>
              <w:pStyle w:val="Normal1"/>
              <w:keepNext w:val="false"/>
              <w:keepLines w:val="false"/>
              <w:widowControl/>
              <w:shd w:val="clear" w:fill="FFFF00"/>
              <w:tabs>
                <w:tab w:val="left" w:pos="720" w:leader="none"/>
              </w:tabs>
              <w:spacing w:lineRule="auto" w:line="240" w:before="0" w:after="57"/>
              <w:ind w:hanging="0"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57" w:after="0"/>
        <w:ind w:hanging="0" w:left="9" w:right="-55"/>
        <w:jc w:val="both"/>
        <w:rPr>
          <w:position w:val="0"/>
          <w:sz w:val="24"/>
          <w:sz w:val="24"/>
          <w:vertAlign w:val="baseline"/>
        </w:rPr>
      </w:pPr>
      <w:r>
        <w:rPr>
          <w:position w:val="0"/>
          <w:sz w:val="24"/>
          <w:sz w:val="24"/>
          <w:vertAlign w:val="baseline"/>
        </w:rPr>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highlight w:val="white"/>
          <w:vertAlign w:val="baseline"/>
        </w:rPr>
        <w:t>2.2</w:t>
      </w:r>
      <w:r>
        <w:rPr>
          <w:rFonts w:eastAsia="Arial" w:cs="Arial" w:ascii="Arial" w:hAnsi="Arial"/>
          <w:color w:val="000000"/>
          <w:position w:val="0"/>
          <w:sz w:val="20"/>
          <w:sz w:val="20"/>
          <w:szCs w:val="20"/>
          <w:highlight w:val="white"/>
          <w:vertAlign w:val="baseline"/>
        </w:rPr>
        <w:t xml:space="preserve"> Os interessados em participar do pregão devem dispor de chave de identificação e senha pessoal do sistema de compras eletrônicas, nos termos do Item 1 - Das Condições Gerais do Pregão Eletrônico.</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2.3 </w:t>
      </w:r>
      <w:r>
        <w:rPr>
          <w:rFonts w:eastAsia="Arial" w:cs="Arial" w:ascii="Arial" w:hAnsi="Arial"/>
          <w:color w:val="000000"/>
          <w:position w:val="0"/>
          <w:sz w:val="20"/>
          <w:sz w:val="20"/>
          <w:szCs w:val="20"/>
          <w:vertAlign w:val="baseline"/>
        </w:rPr>
        <w:t>Não poderão participar desta licitação pessoas físicas ou jurídicas que:</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2.3.1</w:t>
      </w:r>
      <w:r>
        <w:rPr>
          <w:rFonts w:eastAsia="Arial" w:cs="Arial" w:ascii="Arial" w:hAnsi="Arial"/>
          <w:position w:val="0"/>
          <w:sz w:val="20"/>
          <w:sz w:val="20"/>
          <w:szCs w:val="20"/>
          <w:vertAlign w:val="baseline"/>
        </w:rPr>
        <w:t xml:space="preserve"> t</w:t>
      </w:r>
      <w:r>
        <w:rPr>
          <w:rFonts w:eastAsia="Arial" w:cs="Arial" w:ascii="Arial" w:hAnsi="Arial"/>
          <w:color w:val="000000"/>
          <w:position w:val="0"/>
          <w:sz w:val="20"/>
          <w:sz w:val="20"/>
          <w:szCs w:val="20"/>
          <w:vertAlign w:val="baseline"/>
        </w:rPr>
        <w:t>enham sido declaradas inidôneas no âmbito da União, Estados, Distrito Federal e Municípios, em qualquer esfera da Administração Pública;</w:t>
      </w:r>
    </w:p>
    <w:p>
      <w:pPr>
        <w:pStyle w:val="Normal1"/>
        <w:spacing w:lineRule="auto" w:line="240" w:before="57" w:after="0"/>
        <w:ind w:hanging="0" w:left="9" w:right="-55"/>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2.3.2 </w:t>
      </w:r>
      <w:r>
        <w:rPr>
          <w:rFonts w:eastAsia="Arial" w:cs="Arial" w:ascii="Arial" w:hAnsi="Arial"/>
          <w:position w:val="0"/>
          <w:sz w:val="20"/>
          <w:sz w:val="20"/>
          <w:szCs w:val="20"/>
          <w:vertAlign w:val="baseline"/>
        </w:rPr>
        <w:t>c</w:t>
      </w:r>
      <w:r>
        <w:rPr>
          <w:rFonts w:eastAsia="Arial" w:cs="Arial" w:ascii="Arial" w:hAnsi="Arial"/>
          <w:color w:val="000000"/>
          <w:position w:val="0"/>
          <w:sz w:val="20"/>
          <w:sz w:val="20"/>
          <w:szCs w:val="20"/>
          <w:vertAlign w:val="baseline"/>
        </w:rPr>
        <w:t>onstituíram as pessoas jurídicas que foram apenadas conforme item 2.3.1, enquanto perdurarem as causas das penalidades, independentemente de nova pessoa jurídica que vierem a constituir ou de outra em que figurarem como sócios;</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 xml:space="preserve">2.3.3 </w:t>
      </w:r>
      <w:r>
        <w:rPr>
          <w:rFonts w:eastAsia="Arial" w:cs="Arial" w:ascii="Arial" w:hAnsi="Arial"/>
          <w:color w:val="000000"/>
          <w:position w:val="0"/>
          <w:sz w:val="20"/>
          <w:sz w:val="20"/>
          <w:szCs w:val="20"/>
          <w:vertAlign w:val="baseline"/>
        </w:rPr>
        <w:t>tenham sócios comuns com as pessoas jurídicas referidas no item 2.3.2;</w:t>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position w:val="0"/>
          <w:sz w:val="20"/>
          <w:sz w:val="20"/>
          <w:szCs w:val="20"/>
          <w:vertAlign w:val="baseline"/>
        </w:rPr>
        <w:t xml:space="preserve">2.3.4 </w:t>
      </w:r>
      <w:r>
        <w:rPr>
          <w:rFonts w:eastAsia="Arial" w:cs="Arial" w:ascii="Arial" w:hAnsi="Arial"/>
          <w:position w:val="0"/>
          <w:sz w:val="20"/>
          <w:sz w:val="20"/>
          <w:szCs w:val="20"/>
          <w:highlight w:val="white"/>
          <w:vertAlign w:val="baseline"/>
        </w:rPr>
        <w:t>n</w:t>
      </w:r>
      <w:r>
        <w:rPr>
          <w:rFonts w:eastAsia="Arial" w:cs="Arial" w:ascii="Arial" w:hAnsi="Arial"/>
          <w:color w:val="000000"/>
          <w:position w:val="0"/>
          <w:sz w:val="20"/>
          <w:sz w:val="20"/>
          <w:szCs w:val="20"/>
          <w:highlight w:val="white"/>
          <w:vertAlign w:val="baseline"/>
        </w:rPr>
        <w:t>ão funcionem no País, se encontrem sob falência, dissolução ou liquidação, bem como as pessoas físicas sob insolvência;</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highlight w:val="white"/>
          <w:vertAlign w:val="baseline"/>
        </w:rPr>
        <w:t>2.3.5</w:t>
      </w:r>
      <w:r>
        <w:rPr>
          <w:rFonts w:eastAsia="Arial" w:cs="Arial" w:ascii="Arial" w:hAnsi="Arial"/>
          <w:color w:val="000000"/>
          <w:position w:val="0"/>
          <w:sz w:val="20"/>
          <w:sz w:val="20"/>
          <w:szCs w:val="20"/>
          <w:highlight w:val="white"/>
          <w:vertAlign w:val="baseline"/>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2.3.6</w:t>
      </w:r>
      <w:r>
        <w:rPr>
          <w:rFonts w:eastAsia="Arial" w:cs="Arial" w:ascii="Arial" w:hAnsi="Arial"/>
          <w:position w:val="0"/>
          <w:sz w:val="20"/>
          <w:sz w:val="20"/>
          <w:szCs w:val="20"/>
          <w:vertAlign w:val="baseline"/>
        </w:rPr>
        <w:t xml:space="preserve"> o </w:t>
      </w:r>
      <w:r>
        <w:rPr>
          <w:rFonts w:eastAsia="Arial" w:cs="Arial" w:ascii="Arial" w:hAnsi="Arial"/>
          <w:color w:val="000000"/>
          <w:position w:val="0"/>
          <w:sz w:val="20"/>
          <w:sz w:val="20"/>
          <w:szCs w:val="20"/>
          <w:vertAlign w:val="baseline"/>
        </w:rPr>
        <w:t>servidor ou dirigente de órgão ou entidade estadual, bem como a empresa da qual figurem como sócios, dirigentes ou da qual participem indiretamente.</w:t>
      </w:r>
    </w:p>
    <w:p>
      <w:pPr>
        <w:pStyle w:val="Normal1"/>
        <w:spacing w:lineRule="auto" w:line="240" w:before="57" w:after="0"/>
        <w:ind w:hanging="0" w:left="9" w:right="-55"/>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2.3.6.1 </w:t>
      </w:r>
      <w:r>
        <w:rPr>
          <w:rFonts w:eastAsia="Arial" w:cs="Arial" w:ascii="Arial" w:hAnsi="Arial"/>
          <w:color w:val="000000"/>
          <w:position w:val="0"/>
          <w:sz w:val="20"/>
          <w:sz w:val="20"/>
          <w:szCs w:val="20"/>
          <w:vertAlign w:val="baseline"/>
        </w:rPr>
        <w:t>Considera-se participação indireta a existência de qualquer vínculo de natureza técnica, comercial, econômica, financeira ou trabalhista.</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 xml:space="preserve">2.3.7 </w:t>
      </w:r>
      <w:r>
        <w:rPr>
          <w:rFonts w:eastAsia="Arial" w:cs="Arial" w:ascii="Arial" w:hAnsi="Arial"/>
          <w:color w:val="000000"/>
          <w:position w:val="0"/>
          <w:sz w:val="20"/>
          <w:sz w:val="20"/>
          <w:szCs w:val="20"/>
          <w:vertAlign w:val="baseline"/>
        </w:rPr>
        <w:t>As pessoas físicas e jurídicas de que trata o art. 14 da Lei Federal n.º 14.133, de 2021.</w:t>
      </w:r>
    </w:p>
    <w:p>
      <w:pPr>
        <w:pStyle w:val="Normal1"/>
        <w:spacing w:lineRule="auto" w:line="240" w:before="57" w:after="0"/>
        <w:ind w:hanging="0" w:left="9" w:right="-55"/>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2.4 </w:t>
      </w:r>
      <w:r>
        <w:rPr>
          <w:rFonts w:eastAsia="Arial" w:cs="Arial" w:ascii="Arial" w:hAnsi="Arial"/>
          <w:color w:val="000000"/>
          <w:position w:val="0"/>
          <w:sz w:val="20"/>
          <w:sz w:val="20"/>
          <w:szCs w:val="20"/>
          <w:vertAlign w:val="baseline"/>
        </w:rPr>
        <w:t>A participação nesta licitação implica aceitação das condições estabelecidas no edital e na legislação aplicável.</w:t>
      </w:r>
    </w:p>
    <w:p>
      <w:pPr>
        <w:pStyle w:val="Normal1"/>
        <w:tabs>
          <w:tab w:val="clear" w:pos="720"/>
          <w:tab w:val="left" w:pos="567" w:leader="none"/>
        </w:tabs>
        <w:spacing w:lineRule="auto" w:line="240" w:before="57" w:after="0"/>
        <w:ind w:hanging="0" w:left="9" w:right="-55"/>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2.5 </w:t>
      </w:r>
      <w:r>
        <w:rPr>
          <w:rFonts w:eastAsia="Arial" w:cs="Arial" w:ascii="Arial" w:hAnsi="Arial"/>
          <w:color w:val="000000"/>
          <w:position w:val="0"/>
          <w:sz w:val="20"/>
          <w:sz w:val="20"/>
          <w:szCs w:val="20"/>
          <w:vertAlign w:val="baseline"/>
        </w:rPr>
        <w:t>Além destas condições gerais, deverão ser obedecidas as exigências específicas de participação fixadas no edital.</w:t>
      </w:r>
    </w:p>
    <w:p>
      <w:pPr>
        <w:pStyle w:val="Normal1"/>
        <w:tabs>
          <w:tab w:val="clear" w:pos="720"/>
          <w:tab w:val="left" w:pos="567" w:leader="none"/>
        </w:tabs>
        <w:spacing w:lineRule="auto" w:line="240" w:before="57" w:after="0"/>
        <w:ind w:hanging="0" w:left="9" w:right="-55"/>
        <w:jc w:val="both"/>
        <w:rPr>
          <w:position w:val="0"/>
          <w:sz w:val="24"/>
          <w:sz w:val="24"/>
          <w:vertAlign w:val="baseline"/>
        </w:rPr>
      </w:pPr>
      <w:r>
        <w:rPr>
          <w:rFonts w:eastAsia="Arial" w:cs="Arial" w:ascii="Arial" w:hAnsi="Arial"/>
          <w:b/>
          <w:color w:val="000000"/>
          <w:position w:val="0"/>
          <w:sz w:val="20"/>
          <w:sz w:val="20"/>
          <w:szCs w:val="20"/>
          <w:vertAlign w:val="baseline"/>
        </w:rPr>
        <w:t>2.6.</w:t>
      </w:r>
      <w:r>
        <w:rPr>
          <w:rFonts w:eastAsia="Arial" w:cs="Arial" w:ascii="Arial" w:hAnsi="Arial"/>
          <w:color w:val="000000"/>
          <w:position w:val="0"/>
          <w:sz w:val="20"/>
          <w:sz w:val="20"/>
          <w:szCs w:val="20"/>
          <w:vertAlign w:val="baseline"/>
        </w:rPr>
        <w:t xml:space="preserve"> O(a) pregoeiro(a) verificará o eventual descumprimento das condições de participação, especialmente quanto à existência de sanção que impeça a participação no certame ou a futura contratação.</w:t>
      </w:r>
    </w:p>
    <w:p>
      <w:pPr>
        <w:pStyle w:val="Normal1"/>
        <w:tabs>
          <w:tab w:val="clear" w:pos="720"/>
          <w:tab w:val="left" w:pos="567" w:leader="none"/>
        </w:tabs>
        <w:spacing w:lineRule="auto" w:line="240" w:before="57" w:after="0"/>
        <w:ind w:hanging="0" w:left="9" w:right="-55"/>
        <w:jc w:val="both"/>
        <w:rPr>
          <w:position w:val="0"/>
          <w:sz w:val="24"/>
          <w:sz w:val="24"/>
          <w:vertAlign w:val="baseline"/>
        </w:rPr>
      </w:pPr>
      <w:r>
        <w:rPr>
          <w:position w:val="0"/>
          <w:sz w:val="24"/>
          <w:sz w:val="24"/>
          <w:vertAlign w:val="baseline"/>
        </w:rPr>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3. DA VISTORIA</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3.1 </w:t>
      </w:r>
      <w:r>
        <w:rPr>
          <w:rFonts w:eastAsia="Arial" w:cs="Arial" w:ascii="Arial" w:hAnsi="Arial"/>
          <w:color w:val="000000"/>
          <w:position w:val="0"/>
          <w:sz w:val="20"/>
          <w:sz w:val="20"/>
          <w:szCs w:val="20"/>
          <w:vertAlign w:val="baseline"/>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w:t>
      </w:r>
      <w:r>
        <w:rPr>
          <w:rFonts w:eastAsia="Arial" w:cs="Arial" w:ascii="Arial" w:hAnsi="Arial"/>
          <w:color w:val="000000"/>
          <w:position w:val="0"/>
          <w:sz w:val="20"/>
          <w:sz w:val="20"/>
          <w:szCs w:val="20"/>
          <w:highlight w:val="yellow"/>
          <w:vertAlign w:val="baseline"/>
        </w:rPr>
        <w:t>XXXX</w:t>
      </w:r>
      <w:r>
        <w:rPr>
          <w:rFonts w:eastAsia="Arial" w:cs="Arial" w:ascii="Arial" w:hAnsi="Arial"/>
          <w:color w:val="000000"/>
          <w:position w:val="0"/>
          <w:sz w:val="20"/>
          <w:sz w:val="20"/>
          <w:szCs w:val="20"/>
          <w:vertAlign w:val="baseline"/>
        </w:rPr>
        <w:t xml:space="preserve">, pelo telefone </w:t>
      </w:r>
      <w:r>
        <w:rPr>
          <w:rFonts w:eastAsia="Arial" w:cs="Arial" w:ascii="Arial" w:hAnsi="Arial"/>
          <w:color w:val="000000"/>
          <w:position w:val="0"/>
          <w:sz w:val="20"/>
          <w:sz w:val="20"/>
          <w:szCs w:val="20"/>
          <w:highlight w:val="yellow"/>
          <w:vertAlign w:val="baseline"/>
        </w:rPr>
        <w:t>XXXXXXXX</w:t>
      </w:r>
      <w:r>
        <w:rPr>
          <w:rFonts w:eastAsia="Arial" w:cs="Arial" w:ascii="Arial" w:hAnsi="Arial"/>
          <w:color w:val="000000"/>
          <w:position w:val="0"/>
          <w:sz w:val="20"/>
          <w:sz w:val="20"/>
          <w:szCs w:val="20"/>
          <w:vertAlign w:val="baseline"/>
        </w:rPr>
        <w:t>.</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3.1.1</w:t>
      </w:r>
      <w:r>
        <w:rPr>
          <w:rFonts w:eastAsia="Arial" w:cs="Arial" w:ascii="Arial" w:hAnsi="Arial"/>
          <w:color w:val="000000"/>
          <w:position w:val="0"/>
          <w:sz w:val="20"/>
          <w:sz w:val="20"/>
          <w:szCs w:val="20"/>
          <w:vertAlign w:val="baseline"/>
        </w:rPr>
        <w:t xml:space="preserve"> O agendamento deverá ser feito em até dois dias anteriores à data da abertura da sessão do pregão eletrônico.</w:t>
      </w:r>
    </w:p>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3.1.2 </w:t>
      </w:r>
      <w:r>
        <w:rPr>
          <w:rFonts w:eastAsia="Arial" w:cs="Arial" w:ascii="Arial" w:hAnsi="Arial"/>
          <w:color w:val="000000"/>
          <w:position w:val="0"/>
          <w:sz w:val="20"/>
          <w:sz w:val="20"/>
          <w:szCs w:val="20"/>
          <w:vertAlign w:val="baseline"/>
        </w:rPr>
        <w:t>Ainda que os licitantes optem por não realizar a vistoria, deverão apresentar declaração formal assinada pelo responsável técnico do licitante acerca do conhecimento pleno das condições e peculiaridades da contratação, conforme modelo constante no</w:t>
      </w:r>
      <w:r>
        <w:rPr>
          <w:rFonts w:eastAsia="Arial" w:cs="Arial" w:ascii="Arial" w:hAnsi="Arial"/>
          <w:position w:val="0"/>
          <w:sz w:val="20"/>
          <w:sz w:val="20"/>
          <w:szCs w:val="20"/>
          <w:vertAlign w:val="baseline"/>
        </w:rPr>
        <w:t xml:space="preserve"> Anexo VII</w:t>
      </w:r>
      <w:r>
        <w:rPr>
          <w:rFonts w:eastAsia="Arial" w:cs="Arial" w:ascii="Arial" w:hAnsi="Arial"/>
          <w:color w:val="000000"/>
          <w:position w:val="0"/>
          <w:sz w:val="20"/>
          <w:sz w:val="20"/>
          <w:szCs w:val="20"/>
          <w:vertAlign w:val="baseline"/>
        </w:rPr>
        <w:t xml:space="preserve"> deste Edital.</w:t>
      </w:r>
    </w:p>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28"/>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12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bookmarkStart w:id="0" w:name="bookmark=id.gjdgxs"/>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bookmarkEnd w:id="0"/>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A comissão recomenda fazer nota explicativa que a exigência do termo do anexo VII deve ser avaliada conforme a necessidade que a avaliação prévia do local de execução for imprescindível para o conhecimento pleno das condições e peculiaridades do objeto a ser contratado nos termo do §2 e §3 do art. 63, a nova Lei de Licitações </w:t>
            </w:r>
            <w:bookmarkStart w:id="1" w:name="bookmark=id.30j0zll"/>
            <w:bookmarkEnd w:id="1"/>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w:t>
            </w:r>
          </w:p>
        </w:tc>
      </w:tr>
    </w:tbl>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false"/>
        <w:keepLines w:val="false"/>
        <w:pageBreakBefore w:val="false"/>
        <w:widowControl w:val="false"/>
        <w:shd w:val="clear" w:fill="auto"/>
        <w:tabs>
          <w:tab w:val="left" w:pos="720" w:leader="none"/>
        </w:tabs>
        <w:spacing w:lineRule="auto" w:line="240" w:before="240"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3.1.3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não realização da vistoria não poderá embasar posteriores alegações de desconhecimento das instalações, dúvidas ou esquecimentos de quaisquer detalhes dos locais da prestação dos serviços, devendo o licitante vencedor assumir os ônus dos serviços decorrentes.</w:t>
      </w:r>
    </w:p>
    <w:p>
      <w:pPr>
        <w:pStyle w:val="Normal1"/>
        <w:spacing w:lineRule="auto" w:line="240" w:before="57" w:after="0"/>
        <w:jc w:val="both"/>
        <w:rPr>
          <w:color w:val="000000"/>
          <w:position w:val="0"/>
          <w:sz w:val="20"/>
          <w:sz w:val="20"/>
          <w:szCs w:val="20"/>
          <w:vertAlign w:val="baseline"/>
        </w:rPr>
      </w:pPr>
      <w:r>
        <w:rPr>
          <w:rFonts w:eastAsia="Arial" w:cs="Arial" w:ascii="Arial" w:hAnsi="Arial"/>
          <w:b/>
          <w:color w:val="000000"/>
          <w:position w:val="0"/>
          <w:sz w:val="20"/>
          <w:sz w:val="20"/>
          <w:szCs w:val="20"/>
          <w:vertAlign w:val="baseline"/>
        </w:rPr>
        <w:t>3.1.4</w:t>
      </w:r>
      <w:r>
        <w:rPr>
          <w:rFonts w:eastAsia="Arial" w:cs="Arial" w:ascii="Arial" w:hAnsi="Arial"/>
          <w:color w:val="000000"/>
          <w:position w:val="0"/>
          <w:sz w:val="20"/>
          <w:sz w:val="20"/>
          <w:szCs w:val="20"/>
          <w:vertAlign w:val="baseline"/>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pPr>
        <w:pStyle w:val="Normal1"/>
        <w:keepNext w:val="true"/>
        <w:keepLines w:val="false"/>
        <w:pageBreakBefore w:val="false"/>
        <w:widowControl/>
        <w:shd w:val="clear" w:fill="FFFFFF"/>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29"/>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13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r>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De acordo com o art.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63 da Lei Federal n.º 14.133, de 2021</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a vistoria passou a ser um direito do licitante, e não uma obrigação imposta pela Administração.</w:t>
            </w:r>
          </w:p>
        </w:tc>
      </w:tr>
    </w:tbl>
    <w:p>
      <w:pPr>
        <w:pStyle w:val="Normal1"/>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4. </w:t>
      </w:r>
      <w:r>
        <w:rPr>
          <w:rFonts w:eastAsia="Arial" w:cs="Arial" w:ascii="Arial" w:hAnsi="Arial"/>
          <w:b/>
          <w:color w:val="000000"/>
          <w:position w:val="0"/>
          <w:sz w:val="20"/>
          <w:sz w:val="20"/>
          <w:szCs w:val="20"/>
          <w:highlight w:val="white"/>
          <w:vertAlign w:val="baseline"/>
        </w:rPr>
        <w:t>PROPOSTA INICIAL</w:t>
      </w:r>
    </w:p>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 xml:space="preserve">4.1 </w:t>
      </w:r>
      <w:r>
        <w:rPr>
          <w:rFonts w:eastAsia="Arial" w:cs="Arial" w:ascii="Arial" w:hAnsi="Arial"/>
          <w:color w:val="000000"/>
          <w:position w:val="0"/>
          <w:sz w:val="20"/>
          <w:sz w:val="20"/>
          <w:szCs w:val="20"/>
          <w:highlight w:val="white"/>
          <w:vertAlign w:val="baseline"/>
        </w:rPr>
        <w:t>Antes de postar a proposta comercial em formulário eletrônico, o licitante deverá manifestar, em campo próprio d</w:t>
      </w:r>
      <w:r>
        <w:rPr>
          <w:rFonts w:eastAsia="Arial" w:cs="Arial" w:ascii="Arial" w:hAnsi="Arial"/>
          <w:color w:val="000000"/>
          <w:position w:val="0"/>
          <w:sz w:val="20"/>
          <w:sz w:val="20"/>
          <w:szCs w:val="20"/>
          <w:vertAlign w:val="baseline"/>
        </w:rPr>
        <w:t>o sistema de compras eletrônicas:</w:t>
      </w:r>
    </w:p>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4.1.1 </w:t>
      </w:r>
      <w:r>
        <w:rPr>
          <w:rFonts w:eastAsia="Arial" w:cs="Arial" w:ascii="Arial" w:hAnsi="Arial"/>
          <w:position w:val="0"/>
          <w:sz w:val="20"/>
          <w:sz w:val="20"/>
          <w:szCs w:val="20"/>
          <w:vertAlign w:val="baseline"/>
        </w:rPr>
        <w:t>o</w:t>
      </w:r>
      <w:r>
        <w:rPr>
          <w:rFonts w:eastAsia="Arial" w:cs="Arial" w:ascii="Arial" w:hAnsi="Arial"/>
          <w:b/>
          <w:position w:val="0"/>
          <w:sz w:val="20"/>
          <w:sz w:val="20"/>
          <w:szCs w:val="20"/>
          <w:vertAlign w:val="baseline"/>
        </w:rPr>
        <w:t xml:space="preserve"> </w:t>
      </w:r>
      <w:r>
        <w:rPr>
          <w:rFonts w:eastAsia="Arial" w:cs="Arial" w:ascii="Arial" w:hAnsi="Arial"/>
          <w:color w:val="000000"/>
          <w:position w:val="0"/>
          <w:sz w:val="20"/>
          <w:sz w:val="20"/>
          <w:szCs w:val="20"/>
          <w:vertAlign w:val="baseline"/>
        </w:rPr>
        <w:t>pleno conhecimento e atendimento às exigências de habilitação e demais condições previstas no edital;</w:t>
      </w:r>
    </w:p>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4.1.2 </w:t>
      </w:r>
      <w:r>
        <w:rPr>
          <w:rFonts w:eastAsia="Arial" w:cs="Arial" w:ascii="Arial" w:hAnsi="Arial"/>
          <w:position w:val="0"/>
          <w:sz w:val="20"/>
          <w:sz w:val="20"/>
          <w:szCs w:val="20"/>
          <w:vertAlign w:val="baseline"/>
        </w:rPr>
        <w:t>a</w:t>
      </w:r>
      <w:r>
        <w:rPr>
          <w:rFonts w:eastAsia="Arial" w:cs="Arial" w:ascii="Arial" w:hAnsi="Arial"/>
          <w:color w:val="000000"/>
          <w:position w:val="0"/>
          <w:sz w:val="20"/>
          <w:sz w:val="20"/>
          <w:szCs w:val="20"/>
          <w:vertAlign w:val="baseline"/>
        </w:rPr>
        <w:t xml:space="preserve"> sua condição de microempresa, de empresa de pequeno porte ou de microempreendedor individual para usufruir dos benefícios da Lei Complementar Federal n.º 123, de 2006.</w:t>
      </w:r>
    </w:p>
    <w:p>
      <w:pPr>
        <w:pStyle w:val="Normal1"/>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4.2 </w:t>
      </w:r>
      <w:r>
        <w:rPr>
          <w:rFonts w:eastAsia="Arial" w:cs="Arial" w:ascii="Arial" w:hAnsi="Arial"/>
          <w:color w:val="000000"/>
          <w:position w:val="0"/>
          <w:sz w:val="20"/>
          <w:sz w:val="20"/>
          <w:szCs w:val="20"/>
          <w:vertAlign w:val="baseline"/>
        </w:rPr>
        <w:t>A proposta de preço inicial deverá ser enviada por meio de formulário eletrônico no sistema de compras eletrônicas no prazo previsto no edital, de acordo com o critério de disputa estabelecido no edital.</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4.2.1 </w:t>
      </w:r>
      <w:r>
        <w:rPr>
          <w:rFonts w:eastAsia="Arial" w:cs="Arial" w:ascii="Arial" w:hAnsi="Arial"/>
          <w:color w:val="000000"/>
          <w:position w:val="0"/>
          <w:sz w:val="20"/>
          <w:sz w:val="20"/>
          <w:szCs w:val="20"/>
          <w:vertAlign w:val="baseline"/>
        </w:rPr>
        <w:t>A proposta registrada poderá ser alterada ou desistida até a data e hora definida no edital. Após o prazo previsto para acolhimento das propostas, o sistema eletrônico não aceitará inclusão, alteração ou desistência da(s) proposta(s).</w:t>
      </w:r>
      <w:bookmarkStart w:id="2" w:name="bookmark=id.1fob9te"/>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vertAlign w:val="baseline"/>
        </w:rPr>
      </w:pPr>
      <w:bookmarkEnd w:id="2"/>
      <w:r>
        <w:rPr>
          <w:rFonts w:eastAsia="Arial" w:cs="Arial" w:ascii="Arial" w:hAnsi="Arial"/>
          <w:b/>
          <w:color w:val="000000"/>
          <w:position w:val="0"/>
          <w:sz w:val="20"/>
          <w:sz w:val="20"/>
          <w:szCs w:val="20"/>
          <w:vertAlign w:val="baseline"/>
        </w:rPr>
        <w:t xml:space="preserve">4.3. </w:t>
      </w:r>
      <w:r>
        <w:rPr>
          <w:rFonts w:eastAsia="Arial" w:cs="Arial" w:ascii="Arial" w:hAnsi="Arial"/>
          <w:color w:val="000000"/>
          <w:position w:val="0"/>
          <w:sz w:val="20"/>
          <w:sz w:val="20"/>
          <w:szCs w:val="20"/>
          <w:vertAlign w:val="baseline"/>
        </w:rPr>
        <w:t>O sistema ordenará, automaticamente, as propostas classificadas pelo(a) pregoeiro(a), sendo que somente estas participarão da fase de lances.</w:t>
      </w:r>
    </w:p>
    <w:p>
      <w:pPr>
        <w:pStyle w:val="Normal1"/>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color w:val="000000"/>
          <w:position w:val="0"/>
          <w:sz w:val="20"/>
          <w:sz w:val="20"/>
          <w:szCs w:val="20"/>
          <w:vertAlign w:val="baseline"/>
        </w:rPr>
        <w:t>4.4.</w:t>
      </w:r>
      <w:r>
        <w:rPr>
          <w:rFonts w:eastAsia="Arial" w:cs="Arial" w:ascii="Arial" w:hAnsi="Arial"/>
          <w:color w:val="000000"/>
          <w:position w:val="0"/>
          <w:sz w:val="20"/>
          <w:sz w:val="20"/>
          <w:szCs w:val="20"/>
          <w:vertAlign w:val="baseline"/>
        </w:rPr>
        <w:t xml:space="preserve"> O(a) Pregoeiro(a), verificará as propostas apresentadas, inclusive quanto à exequibilidade, e desclassificará aquelas que não estejam em conformidade com os requisitos estabelecidos neste Edital.</w:t>
      </w:r>
    </w:p>
    <w:p>
      <w:pPr>
        <w:pStyle w:val="Normal1"/>
        <w:widowControl w:val="false"/>
        <w:tabs>
          <w:tab w:val="clear" w:pos="720"/>
          <w:tab w:val="left" w:pos="426"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5. DO PREENCHIMENTO DA PROPOSTA</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5.1</w:t>
      </w:r>
      <w:r>
        <w:rPr>
          <w:rFonts w:eastAsia="Arial" w:cs="Arial" w:ascii="Arial" w:hAnsi="Arial"/>
          <w:color w:val="000000"/>
          <w:position w:val="0"/>
          <w:sz w:val="20"/>
          <w:sz w:val="20"/>
          <w:szCs w:val="20"/>
          <w:vertAlign w:val="baseline"/>
        </w:rPr>
        <w:t xml:space="preserve"> O licitante deverá enviar sua proposta mediante o</w:t>
      </w:r>
      <w:r>
        <w:rPr>
          <w:rFonts w:eastAsia="Arial" w:cs="Arial" w:ascii="Arial" w:hAnsi="Arial"/>
          <w:b/>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highlight w:val="white"/>
          <w:vertAlign w:val="baseline"/>
        </w:rPr>
        <w:t>p</w:t>
      </w:r>
      <w:r>
        <w:rPr>
          <w:rFonts w:eastAsia="Arial" w:cs="Arial" w:ascii="Arial" w:hAnsi="Arial"/>
          <w:color w:val="000000"/>
          <w:position w:val="0"/>
          <w:sz w:val="20"/>
          <w:sz w:val="20"/>
          <w:szCs w:val="20"/>
          <w:vertAlign w:val="baseline"/>
        </w:rPr>
        <w:t>reenchimento, no sistema eletrônico, dos seguintes campos:</w:t>
      </w:r>
    </w:p>
    <w:p>
      <w:pPr>
        <w:pStyle w:val="Normal1"/>
        <w:tabs>
          <w:tab w:val="clear" w:pos="720"/>
          <w:tab w:val="left" w:pos="1440"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5.1.1 </w:t>
      </w:r>
      <w:r>
        <w:rPr>
          <w:rFonts w:eastAsia="Arial" w:cs="Arial" w:ascii="Arial" w:hAnsi="Arial"/>
          <w:color w:val="000000"/>
          <w:position w:val="0"/>
          <w:sz w:val="20"/>
          <w:sz w:val="20"/>
          <w:szCs w:val="20"/>
          <w:vertAlign w:val="baseline"/>
        </w:rPr>
        <w:t xml:space="preserve">Valor unitário e total do item </w:t>
      </w:r>
      <w:r>
        <w:rPr>
          <w:rFonts w:eastAsia="Arial" w:cs="Arial" w:ascii="Arial" w:hAnsi="Arial"/>
          <w:b/>
          <w:color w:val="000000"/>
          <w:position w:val="0"/>
          <w:sz w:val="20"/>
          <w:sz w:val="20"/>
          <w:szCs w:val="20"/>
          <w:u w:val="single"/>
          <w:vertAlign w:val="baseline"/>
        </w:rPr>
        <w:t>ou</w:t>
      </w:r>
      <w:r>
        <w:rPr>
          <w:rFonts w:eastAsia="Arial" w:cs="Arial" w:ascii="Arial" w:hAnsi="Arial"/>
          <w:color w:val="000000"/>
          <w:position w:val="0"/>
          <w:sz w:val="20"/>
          <w:sz w:val="20"/>
          <w:szCs w:val="20"/>
          <w:vertAlign w:val="baseline"/>
        </w:rPr>
        <w:t xml:space="preserve"> valor global, </w:t>
      </w:r>
      <w:r>
        <w:rPr>
          <w:rFonts w:eastAsia="Arial" w:cs="Arial" w:ascii="Arial" w:hAnsi="Arial"/>
          <w:b/>
          <w:color w:val="000000"/>
          <w:position w:val="0"/>
          <w:sz w:val="20"/>
          <w:sz w:val="20"/>
          <w:szCs w:val="20"/>
          <w:u w:val="single"/>
          <w:vertAlign w:val="baseline"/>
        </w:rPr>
        <w:t>ou</w:t>
      </w:r>
      <w:r>
        <w:rPr>
          <w:rFonts w:eastAsia="Arial" w:cs="Arial" w:ascii="Arial" w:hAnsi="Arial"/>
          <w:color w:val="000000"/>
          <w:position w:val="0"/>
          <w:sz w:val="20"/>
          <w:sz w:val="20"/>
          <w:szCs w:val="20"/>
          <w:vertAlign w:val="baseline"/>
        </w:rPr>
        <w:t xml:space="preserve"> percentual de desconto;</w:t>
      </w:r>
    </w:p>
    <w:p>
      <w:pPr>
        <w:pStyle w:val="Normal1"/>
        <w:tabs>
          <w:tab w:val="clear" w:pos="720"/>
          <w:tab w:val="left" w:pos="1440"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5.1.2</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yellow"/>
          <w:vertAlign w:val="baseline"/>
        </w:rPr>
        <w:t>XXXXXXXXX</w:t>
      </w:r>
      <w:r>
        <w:rPr>
          <w:rFonts w:eastAsia="Arial" w:cs="Arial" w:ascii="Arial" w:hAnsi="Arial"/>
          <w:color w:val="000000"/>
          <w:position w:val="0"/>
          <w:sz w:val="20"/>
          <w:sz w:val="20"/>
          <w:szCs w:val="20"/>
          <w:vertAlign w:val="baseline"/>
        </w:rPr>
        <w:t>;</w:t>
      </w:r>
    </w:p>
    <w:p>
      <w:pPr>
        <w:pStyle w:val="Normal1"/>
        <w:tabs>
          <w:tab w:val="clear" w:pos="720"/>
          <w:tab w:val="left" w:pos="1440"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5.1.3</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yellow"/>
          <w:vertAlign w:val="baseline"/>
        </w:rPr>
        <w:t>XXXXXXXXXX;</w:t>
      </w:r>
    </w:p>
    <w:p>
      <w:pPr>
        <w:pStyle w:val="Normal1"/>
        <w:tabs>
          <w:tab w:val="clear" w:pos="720"/>
          <w:tab w:val="left" w:pos="1440" w:leader="none"/>
        </w:tabs>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5.1.4</w:t>
      </w:r>
      <w:r>
        <w:rPr>
          <w:rFonts w:eastAsia="Arial" w:cs="Arial" w:ascii="Arial" w:hAnsi="Arial"/>
          <w:i/>
          <w:color w:val="000000"/>
          <w:position w:val="0"/>
          <w:sz w:val="20"/>
          <w:sz w:val="20"/>
          <w:szCs w:val="20"/>
          <w:vertAlign w:val="baseline"/>
        </w:rPr>
        <w:t xml:space="preserve"> </w:t>
      </w:r>
      <w:r>
        <w:rPr>
          <w:rFonts w:eastAsia="Arial" w:cs="Arial" w:ascii="Arial" w:hAnsi="Arial"/>
          <w:color w:val="000000"/>
          <w:position w:val="0"/>
          <w:sz w:val="20"/>
          <w:sz w:val="20"/>
          <w:szCs w:val="20"/>
          <w:vertAlign w:val="baseline"/>
        </w:rPr>
        <w:t>Descrição detalhada do objeto, contendo as informações similares à especificação contida nos elementos técnicos instrutores: indicando, no que for aplicável, o modelo, prazo de validade ou de garantia, quando for o caso.</w:t>
      </w:r>
    </w:p>
    <w:p>
      <w:pPr>
        <w:pStyle w:val="Normal1"/>
        <w:tabs>
          <w:tab w:val="clear" w:pos="720"/>
          <w:tab w:val="left" w:pos="1440"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0"/>
        <w:tblW w:w="9081" w:type="dxa"/>
        <w:jc w:val="left"/>
        <w:tblInd w:w="-55" w:type="dxa"/>
        <w:tblLayout w:type="fixed"/>
        <w:tblCellMar>
          <w:top w:w="0" w:type="dxa"/>
          <w:left w:w="108" w:type="dxa"/>
          <w:bottom w:w="0" w:type="dxa"/>
          <w:right w:w="108" w:type="dxa"/>
        </w:tblCellMar>
        <w:tblLook w:val="0000"/>
      </w:tblPr>
      <w:tblGrid>
        <w:gridCol w:w="9081"/>
      </w:tblGrid>
      <w:tr>
        <w:trPr/>
        <w:tc>
          <w:tcPr>
            <w:tcW w:w="9081"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14</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val="false"/>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item anterior deve ser adaptado às peculiaridades do objeto licitatório, exigindo-se a pormenorização daquilo que for a ele pertinente.</w:t>
            </w:r>
          </w:p>
          <w:p>
            <w:pPr>
              <w:pStyle w:val="Normal1"/>
              <w:keepNext w:val="false"/>
              <w:keepLines w:val="false"/>
              <w:widowControl w:val="false"/>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Embora não seja obrigatório exigir o preenchimento do campo “descrição detalhada do objeto contratado”, uma vez que o licitante já declarou que está ciente e concorda com as condições contidas no Edital, no pregão eletrônico esta é a maneira pela qual o(a) Pregoeiro(a) poderá obter informações mais detalhadas sobre a proposta do licitante, para fins de classificação ou aceitação.</w:t>
            </w:r>
          </w:p>
          <w:p>
            <w:pPr>
              <w:pStyle w:val="Normal1"/>
              <w:keepNext w:val="false"/>
              <w:keepLines w:val="false"/>
              <w:widowControl w:val="false"/>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i/>
          <w:caps w:val="false"/>
          <w:smallCaps w:val="false"/>
          <w:strike w:val="false"/>
          <w:dstrike w:val="false"/>
          <w:color w:val="C00000"/>
          <w:position w:val="0"/>
          <w:sz w:val="20"/>
          <w:sz w:val="20"/>
          <w:szCs w:val="20"/>
          <w:u w:val="none"/>
          <w:shd w:fill="auto" w:val="clear"/>
          <w:vertAlign w:val="baseline"/>
        </w:rPr>
      </w:pPr>
      <w:r>
        <w:rPr>
          <w:rFonts w:eastAsia="Arial" w:cs="Arial" w:ascii="Arial" w:hAnsi="Arial"/>
          <w:b/>
          <w:i/>
          <w:caps w:val="false"/>
          <w:smallCaps w:val="false"/>
          <w:strike w:val="false"/>
          <w:dstrike w:val="false"/>
          <w:color w:val="C00000"/>
          <w:position w:val="0"/>
          <w:sz w:val="20"/>
          <w:sz w:val="20"/>
          <w:szCs w:val="20"/>
          <w:u w:val="none"/>
          <w:shd w:fill="auto" w:val="clear"/>
          <w:vertAlign w:val="baseline"/>
        </w:rPr>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5.2</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Todas as especificações do objeto contidas na proposta vinculam o Contratado.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5.3</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Nos valores propostos estarão inclusos todos os custos operacionais, encargos previdenciários, trabalhistas, tributários, comerciais e quaisquer outros que incidam direta ou indiretamente na prestação dos serviços de engenharia.</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dark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prazo de validade da proposta não será inferior 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 (XXXXX)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dias, a contar da data de sua apresentação.</w:t>
      </w:r>
    </w:p>
    <w:p>
      <w:pPr>
        <w:pStyle w:val="Normal1"/>
        <w:tabs>
          <w:tab w:val="clear" w:pos="720"/>
          <w:tab w:val="left" w:pos="1440" w:leader="none"/>
        </w:tabs>
        <w:spacing w:lineRule="auto" w:line="240" w:before="57" w:after="0"/>
        <w:jc w:val="both"/>
        <w:rPr>
          <w:rFonts w:ascii="Arial" w:hAnsi="Arial" w:eastAsia="Arial" w:cs="Arial"/>
          <w:color w:val="000000"/>
          <w:position w:val="0"/>
          <w:sz w:val="20"/>
          <w:sz w:val="20"/>
          <w:szCs w:val="20"/>
          <w:highlight w:val="darkYellow"/>
          <w:vertAlign w:val="baseline"/>
        </w:rPr>
      </w:pPr>
      <w:r>
        <w:rPr>
          <w:rFonts w:eastAsia="Arial" w:cs="Arial" w:ascii="Arial" w:hAnsi="Arial"/>
          <w:color w:val="000000"/>
          <w:position w:val="0"/>
          <w:sz w:val="20"/>
          <w:sz w:val="20"/>
          <w:szCs w:val="20"/>
          <w:highlight w:val="darkYellow"/>
          <w:vertAlign w:val="baseline"/>
        </w:rPr>
      </w:r>
    </w:p>
    <w:tbl>
      <w:tblPr>
        <w:tblStyle w:val="Table31"/>
        <w:tblW w:w="9081" w:type="dxa"/>
        <w:jc w:val="left"/>
        <w:tblInd w:w="-55" w:type="dxa"/>
        <w:tblLayout w:type="fixed"/>
        <w:tblCellMar>
          <w:top w:w="0" w:type="dxa"/>
          <w:left w:w="108" w:type="dxa"/>
          <w:bottom w:w="0" w:type="dxa"/>
          <w:right w:w="108" w:type="dxa"/>
        </w:tblCellMar>
        <w:tblLook w:val="0000"/>
      </w:tblPr>
      <w:tblGrid>
        <w:gridCol w:w="9081"/>
      </w:tblGrid>
      <w:tr>
        <w:trPr/>
        <w:tc>
          <w:tcPr>
            <w:tcW w:w="9081"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15</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val="false"/>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prazo de validade das propostas será estabelecido de forma justificada neste edital de acordo com as peculiaridades da licitação e do mercado próprio do objeto.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tc>
      </w:tr>
    </w:tbl>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5.6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As ofertas de propostas dos licitantes devem respeitar os preços máximos estabelecidos neste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 DA ABERTURA DA SESSÃO, CLASSIFICAÇÃO DAS PROPOSTAS E FORMULAÇÃO DE LANCES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abertura da presente licitação dar-se-á em sessão pública, por meio de sistema eletrônico, na data, horário e local indicados neste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O(a) Pregoeiro(a) verificará as propostas apresentadas, desclassificando aquelas que não estejam em conformidade com os requisitos estabelecidos neste Edital, contenham vícios insanáveis ou não apresentem as especificações técnicas exigidas no Termo de Referência.</w:t>
      </w:r>
    </w:p>
    <w:p>
      <w:pPr>
        <w:pStyle w:val="Normal1"/>
        <w:tabs>
          <w:tab w:val="clear" w:pos="720"/>
          <w:tab w:val="left" w:pos="144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6.2.1</w:t>
      </w:r>
      <w:r>
        <w:rPr>
          <w:rFonts w:eastAsia="Arial" w:cs="Arial" w:ascii="Arial" w:hAnsi="Arial"/>
          <w:color w:val="000000"/>
          <w:position w:val="0"/>
          <w:sz w:val="20"/>
          <w:sz w:val="20"/>
          <w:szCs w:val="20"/>
          <w:vertAlign w:val="baseline"/>
        </w:rPr>
        <w:t xml:space="preserve"> Também será desclassificada a proposta que identifique o licitante.</w:t>
      </w:r>
    </w:p>
    <w:p>
      <w:pPr>
        <w:pStyle w:val="Normal1"/>
        <w:tabs>
          <w:tab w:val="clear" w:pos="720"/>
          <w:tab w:val="left" w:pos="144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6.2.2</w:t>
      </w:r>
      <w:r>
        <w:rPr>
          <w:rFonts w:eastAsia="Arial" w:cs="Arial" w:ascii="Arial" w:hAnsi="Arial"/>
          <w:color w:val="000000"/>
          <w:position w:val="0"/>
          <w:sz w:val="20"/>
          <w:sz w:val="20"/>
          <w:szCs w:val="20"/>
          <w:vertAlign w:val="baseline"/>
        </w:rPr>
        <w:t xml:space="preserve"> A desclassificação será sempre fundamentada e registrada no sistema, com acompanhamento em tempo real por todos os participantes.</w:t>
      </w:r>
    </w:p>
    <w:p>
      <w:pPr>
        <w:pStyle w:val="Normal1"/>
        <w:tabs>
          <w:tab w:val="clear" w:pos="720"/>
          <w:tab w:val="left" w:pos="1440" w:leader="none"/>
        </w:tabs>
        <w:spacing w:lineRule="auto" w:line="240" w:before="57" w:after="0"/>
        <w:jc w:val="both"/>
        <w:rPr>
          <w:b/>
          <w:color w:val="000000"/>
          <w:position w:val="0"/>
          <w:sz w:val="20"/>
          <w:sz w:val="20"/>
          <w:szCs w:val="20"/>
          <w:vertAlign w:val="baseline"/>
        </w:rPr>
      </w:pPr>
      <w:r>
        <w:rPr>
          <w:rFonts w:eastAsia="Arial" w:cs="Arial" w:ascii="Arial" w:hAnsi="Arial"/>
          <w:b/>
          <w:color w:val="000000"/>
          <w:position w:val="0"/>
          <w:sz w:val="20"/>
          <w:sz w:val="20"/>
          <w:szCs w:val="20"/>
          <w:vertAlign w:val="baseline"/>
        </w:rPr>
        <w:t>6.2.3</w:t>
      </w:r>
      <w:r>
        <w:rPr>
          <w:rFonts w:eastAsia="Arial" w:cs="Arial" w:ascii="Arial" w:hAnsi="Arial"/>
          <w:color w:val="000000"/>
          <w:position w:val="0"/>
          <w:sz w:val="20"/>
          <w:sz w:val="20"/>
          <w:szCs w:val="20"/>
          <w:vertAlign w:val="baseline"/>
        </w:rPr>
        <w:t xml:space="preserve"> A não desclassificação da proposta não impede o seu julgamento definitivo em sentido contrário, levado a efeito na fase de aceitação.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6.3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sistema ordenará automaticamente as propostas classificadas, sendo que somente estas participarão da fase de lances.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sistema disponibilizará campo próprio para troca de mensagens entre o(a) Pregoeiro(a) e os licitantes.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Iniciada a etapa competitiva, os licitantes deverão encaminhar lances exclusivamente por meio do sistema eletrônico, sendo imediatamente informados do seu recebimento e do valor consignado no registro.</w:t>
      </w:r>
    </w:p>
    <w:p>
      <w:pPr>
        <w:pStyle w:val="Normal1"/>
        <w:tabs>
          <w:tab w:val="clear" w:pos="720"/>
          <w:tab w:val="left" w:pos="1440" w:leader="none"/>
        </w:tabs>
        <w:spacing w:lineRule="auto" w:line="240" w:before="57" w:after="0"/>
        <w:jc w:val="both"/>
        <w:rPr>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6.5.1 </w:t>
      </w:r>
      <w:r>
        <w:rPr>
          <w:rFonts w:eastAsia="Arial" w:cs="Arial" w:ascii="Arial" w:hAnsi="Arial"/>
          <w:color w:val="000000"/>
          <w:position w:val="0"/>
          <w:sz w:val="20"/>
          <w:sz w:val="20"/>
          <w:szCs w:val="20"/>
          <w:vertAlign w:val="baseline"/>
        </w:rPr>
        <w:t>O lance deverá ser ofertado de acordo com o critério de disputa fixado no item 2 Das Condições Específicas deste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licitantes poderão oferecer lances sucessivos, observando o horário fixado para abertura da sessão e as regras estabelecidas no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licitante somente poderá oferecer lance de valor inferior ou percentual de desconto superior ao último por ele ofertado e registrado pelo sistema.</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6.8</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intervalo mínimo de diferença de valores ou percentuais entre os lances, que incidirá tanto em relação aos lances intermediários quanto em relação à proposta que cobrir a melhor oferta deverá ser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 (XXXXX).</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32"/>
        <w:tblW w:w="9082" w:type="dxa"/>
        <w:jc w:val="left"/>
        <w:tblInd w:w="-55" w:type="dxa"/>
        <w:tblLayout w:type="fixed"/>
        <w:tblCellMar>
          <w:top w:w="0" w:type="dxa"/>
          <w:left w:w="108" w:type="dxa"/>
          <w:bottom w:w="0" w:type="dxa"/>
          <w:right w:w="108" w:type="dxa"/>
        </w:tblCellMar>
        <w:tblLook w:val="0000"/>
      </w:tblPr>
      <w:tblGrid>
        <w:gridCol w:w="9082"/>
      </w:tblGrid>
      <w:tr>
        <w:trPr/>
        <w:tc>
          <w:tcPr>
            <w:tcW w:w="9082"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16</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MODO DE DISPUTA: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Disputa aberta:</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Adotado o modo de disputa aberto, a previsão do item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6.8</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acima, de intervalo mínimo de diferença de valores ou de percentuais entre os lances é facultativa, conforme §1º, do Art. 72, do Decreto n.º 10.086/2022.</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Assim, se a Administração optar por não estabelecer esse intervalo mínimo, o item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6.8</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deverá ser excluído.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subitem acima poderá ser acrescentado para incluir intervalo mínimo de valor (em moeda corrente) ou de percentuais entre os lances, que implique repercussão financeira que efetivamente diferencie uma proposta da outra.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 xml:space="preserve">No modo de disputa aberto, deve-se incluir os itens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 xml:space="preserve">6.9 </w:t>
            </w: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a</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 xml:space="preserve"> 6.13</w:t>
            </w: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 conforme redação: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Será adotado para o envio de lances no pregão eletrônico o modo de disputa “aberto”, em que os licitantes apresentarão lances públicos e sucessivos, com prorrogações.</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6.10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etapa de lances da sessão pública terá duração de (XXXX) minutos e, após isso, será prorrogada automaticamente pelo sistema quando houver lance ofertado nos últimos dois minutos do período de duração da sessão pública.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prorrogação automática da etapa de lances, de que trata o item anterior, será de (XXX) minutos e ocorrerá sucessivamente sempre que houver lances enviados nesse período de prorrogação, inclusive no caso de lances intermediários.</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Não havendo novos lances na forma estabelecida nos itens anteriores, a sessão pública encerrar-se-á automaticamente.</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OU</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b) Combinação de modos de disputa “aberto e fechado”: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modo de disputa aberto e fechado se inicia com a apresentação de lances sucessivos (fase aberta), com envio final de um lance fechado pelos detentores das três melhores propostas da fase aberta (fase fechada).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No modo de disputa aberto e fechado, deve-se incluir os itens 6.9 a 6.13, conforme redação: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Será adotado para o envio de lances no pregão eletrônico o modo de disputa “aberto e fechado”, em que os licitantes apresentarão lances públicos e sucessivos, com lance final e fechado.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etapa de lances da sessão pública terá duração inicial de (XXXX) minutos. Após esse prazo, o sistema encaminhará aviso de fechamento iminente dos lances, após o que transcorrerá o período de tempo de até (XXXX) minutos, aleatoriamente determinado, findo o qual será automaticamente encerrada a recepção de lances.</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Encerrado o prazo previsto no item anterior, o sistema abrirá oportunidade para que o autor da oferta de valor mais baixo (menor preço ou maior desconto) e os das ofertas com preços até XXX por cento superiores àquela possam ofertar um lance final e fechado em até (XXXX) minutos, o qual será sigiloso até o encerramento deste prazo.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6.11.1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Após o término dos prazos estabelecidos nos itens anteriores, o sistema ordenará os lances segundo a ordem crescente de valores (menor preço ou maior desconto).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Poderá o(a) pregoeiro(a), auxiliado pela equipe de apoio, justificadamente, admitir o reinício da etapa fechada, caso nenhum licitante classificado na etapa de lance fechado atenda às exigências de habilitação.</w:t>
            </w:r>
          </w:p>
        </w:tc>
      </w:tr>
    </w:tbl>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Não serão aceitos dois ou mais lances de mesmo valor, prevalecendo aquele que for recebido e registrado em primeiro lugar.</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Durante o transcurso da sessão pública, os licitantes serão informados, em tempo real, do valor do menor lance registrado (ou maior desconto), vedada a identificação do licitante.</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 caso de desconexão com o(a) Pregoeiro(a), no decorrer da etapa competitiva do Pregão, o sistema eletrônico poderá permanecer acessível aos licitantes para a recepção dos lances.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Quando a desconexão do sistema eletrônico para o(a) pregoeiro(a) persistir por tempo superior a dez minutos, a sessão pública será suspensa e reiniciada somente após decorridas, no mínimo, vinte e quatro horas da comunicação do fato pelo(a) Pregoeiro(a) aos participantes, no sítio eletrônico utilizado para divulgação.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6.18</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Critério de julgamento adotado será o menor preço (ou maior desconto), conforme definido neste Edital e seus anexos.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6.19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Caso o licitante não apresente lances, concorrerá com o valor de sua proposta.</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Só poderá haver empate entre propostas iguais (não seguidas de lances), ou entre lances finais da fase fechada do modo de disputa aberto e fechado.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Havendo eventual empate entre propostas ou lances, o critério de desempate será aquele previsto no art. 60 da Lei n.º 14.133, de 2021.</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Persistindo o empate, a proposta vencedora será sorteada pelo sistema eletrônico dentre as propostas ou os lances empatados.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Encerrada a etapa de envio de lances da sessão pública, o(a) pregoeiro(a) deverá encaminhar, pelo sistema eletrônico, contraproposta ao licitante que tenha apresentado o melhor preço, para que seja obtida melhor proposta, vedada a negociação em condições diferentes das previstas neste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6.23.1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negociação será realizada por meio do sistema, podendo ser acompanhada pelos demais licitantes.</w:t>
      </w:r>
    </w:p>
    <w:p>
      <w:pPr>
        <w:pStyle w:val="Normal1"/>
        <w:keepNext w:val="false"/>
        <w:keepLines w:val="false"/>
        <w:pageBreakBefore w:val="false"/>
        <w:widowControl/>
        <w:shd w:val="clear" w:fill="auto"/>
        <w:tabs>
          <w:tab w:val="clear" w:pos="720"/>
          <w:tab w:val="left" w:pos="-12"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6.23.2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O(a) pregoeiro(a) solicitará ao licitante melhor classificado que, no prazo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 (XXXXX)</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horas </w:t>
      </w:r>
      <w:r>
        <w:rPr>
          <w:rFonts w:eastAsia="Arial" w:cs="Arial" w:ascii="Arial" w:hAnsi="Arial"/>
          <w:b w:val="false"/>
          <w:i/>
          <w:caps w:val="false"/>
          <w:smallCaps w:val="false"/>
          <w:strike w:val="false"/>
          <w:dstrike w:val="false"/>
          <w:color w:val="000000"/>
          <w:position w:val="0"/>
          <w:sz w:val="20"/>
          <w:sz w:val="20"/>
          <w:szCs w:val="20"/>
          <w:highlight w:val="yellow"/>
          <w:u w:val="none"/>
          <w:vertAlign w:val="baseline"/>
        </w:rPr>
        <w:t>[mínimo de duas horas]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envie a proposta adequada ao último lance ofertado após a negociação realizada, acompanhada, se for o caso, dos documentos complementares, quando necessários à confirmação daqueles exigidos neste Edital e já apresentados.</w:t>
      </w:r>
    </w:p>
    <w:p>
      <w:pPr>
        <w:pStyle w:val="Normal1"/>
        <w:keepNext w:val="false"/>
        <w:keepLines w:val="false"/>
        <w:pageBreakBefore w:val="false"/>
        <w:widowControl/>
        <w:shd w:val="clear" w:fill="auto"/>
        <w:tabs>
          <w:tab w:val="clear" w:pos="720"/>
          <w:tab w:val="left" w:pos="-12" w:leader="none"/>
        </w:tabs>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6.23.3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É facultado ao(a) pregoeiro(a) prorrogar o prazo estabelecido, a partir de solicitação fundamentada feita no chat pelo licitante, antes de findo o prazo previsto no item 5.28.2.</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FF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6.24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Após a negociação do preço, o(a) Pregoeiro(a) iniciará a fase de aceitação e julgamento da proposta.</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val="false"/>
          <w:i w:val="false"/>
          <w:i w:val="false"/>
          <w:caps w:val="false"/>
          <w:smallCaps w:val="false"/>
          <w:strike w:val="false"/>
          <w:dstrike w:val="false"/>
          <w:color w:val="FF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FF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 DA ACEITABILIDADE DA PROPOSTA VENCEDORA.</w:t>
      </w:r>
    </w:p>
    <w:p>
      <w:pPr>
        <w:pStyle w:val="Normal1"/>
        <w:rPr>
          <w:rFonts w:ascii="Arial" w:hAnsi="Arial" w:eastAsia="Arial" w:cs="Arial"/>
          <w:color w:val="000000"/>
          <w:position w:val="0"/>
          <w:sz w:val="24"/>
          <w:sz w:val="24"/>
          <w:vertAlign w:val="baseline"/>
        </w:rPr>
      </w:pPr>
      <w:r>
        <w:rPr>
          <w:rFonts w:eastAsia="Arial" w:cs="Arial" w:ascii="Arial" w:hAnsi="Arial"/>
          <w:color w:val="000000"/>
          <w:position w:val="0"/>
          <w:sz w:val="24"/>
          <w:sz w:val="24"/>
          <w:vertAlign w:val="baseline"/>
        </w:rPr>
      </w:r>
    </w:p>
    <w:tbl>
      <w:tblPr>
        <w:tblStyle w:val="Table33"/>
        <w:tblW w:w="9173" w:type="dxa"/>
        <w:jc w:val="left"/>
        <w:tblInd w:w="-55" w:type="dxa"/>
        <w:tblLayout w:type="fixed"/>
        <w:tblCellMar>
          <w:top w:w="0" w:type="dxa"/>
          <w:left w:w="108" w:type="dxa"/>
          <w:bottom w:w="0" w:type="dxa"/>
          <w:right w:w="108" w:type="dxa"/>
        </w:tblCellMar>
        <w:tblLook w:val="0000"/>
      </w:tblPr>
      <w:tblGrid>
        <w:gridCol w:w="9173"/>
      </w:tblGrid>
      <w:tr>
        <w:trPr/>
        <w:tc>
          <w:tcPr>
            <w:tcW w:w="9173"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17</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Como condição prévia à aceitação da proposta, o(a) Pregoeiro(a) deverá consultar o Portal Nacional de Contratações Públicas (PNCP) para verificar se o somatório dos valores por ele recebidos, no exercício anterior, extrapola o limite previsto no artigo 3°, inciso II, da Lei Complementar n° 123, de 2006, ou o limite proporcional de que trata o artigo 3°, § 2°, do mesmo diploma, em caso de início de atividade no exercício considerado.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Para a microempresa, empresa de pequeno porte ou microempreendedor individual, a consulta também abrangerá o exercício corrente, para verificar se o somatório dos valores por ela recebidos, até o mês anterior ao da sessão pública da licitação, extrapola os limites acima referidos, acrescidos do percentual de 20% (vinte por cento) de que trata o artigo 3°, §§ 9°-A e 12, da Lei Complementar n° 123, de 2006.</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Constatada a ocorrência de qualquer das situações que superem o limite legal, o(a) Pregoeiro(a) deverá desclassificar o licitante, conforme artigo 3°, §§ 9°, 9°-A, 10 e 12, da Lei Complementar n° 123, de 2006, sem prejuízo das penalidades incidentes.</w:t>
            </w:r>
          </w:p>
        </w:tc>
      </w:tr>
    </w:tbl>
    <w:p>
      <w:pPr>
        <w:pStyle w:val="Normal1"/>
        <w:keepNext w:val="false"/>
        <w:keepLines w:val="false"/>
        <w:pageBreakBefore w:val="false"/>
        <w:widowControl/>
        <w:shd w:val="clear" w:fill="auto"/>
        <w:spacing w:lineRule="auto" w:line="240" w:before="120" w:after="12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7.1</w:t>
      </w:r>
      <w:r>
        <w:rPr>
          <w:rFonts w:eastAsia="Arial" w:cs="Arial" w:ascii="Arial" w:hAnsi="Arial"/>
          <w:color w:val="000000"/>
          <w:position w:val="0"/>
          <w:sz w:val="20"/>
          <w:sz w:val="20"/>
          <w:szCs w:val="20"/>
          <w:vertAlign w:val="baseline"/>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art. 95 do Decreto n.º 10.086, de 2022.</w:t>
      </w:r>
    </w:p>
    <w:p>
      <w:pPr>
        <w:pStyle w:val="Normal1"/>
        <w:spacing w:lineRule="auto" w:line="240" w:before="57" w:after="0"/>
        <w:ind w:right="-1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7.1.1. </w:t>
      </w:r>
      <w:r>
        <w:rPr>
          <w:rFonts w:eastAsia="Arial" w:cs="Arial" w:ascii="Arial" w:hAnsi="Arial"/>
          <w:color w:val="000000"/>
          <w:position w:val="0"/>
          <w:sz w:val="20"/>
          <w:sz w:val="20"/>
          <w:szCs w:val="20"/>
          <w:highlight w:val="white"/>
          <w:vertAlign w:val="baseline"/>
        </w:rPr>
        <w:t>A análise da exequibilidade da proposta de preços deverá ser realizada com o auxílio da Planilha de Custos e Formação de Preços, a ser preenchida pelo licitante em relação à sua proposta final, conforme anexo deste Edital.</w:t>
      </w:r>
    </w:p>
    <w:p>
      <w:pPr>
        <w:pStyle w:val="Normal1"/>
        <w:spacing w:lineRule="auto" w:line="240" w:before="57" w:after="0"/>
        <w:ind w:right="-15"/>
        <w:jc w:val="both"/>
        <w:rPr>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7.1.2.</w:t>
      </w:r>
      <w:r>
        <w:rPr>
          <w:rFonts w:eastAsia="Arial" w:cs="Arial" w:ascii="Arial" w:hAnsi="Arial"/>
          <w:color w:val="000000"/>
          <w:position w:val="0"/>
          <w:sz w:val="20"/>
          <w:sz w:val="20"/>
          <w:szCs w:val="20"/>
          <w:highlight w:val="white"/>
          <w:vertAlign w:val="baseline"/>
        </w:rPr>
        <w:t xml:space="preserve"> A Planilha de Custos e Formação de Preços deverá ser encaminhada pelo licitante exclusivamente via sistema, no prazo de </w:t>
      </w:r>
      <w:r>
        <w:rPr>
          <w:rFonts w:eastAsia="Arial" w:cs="Arial" w:ascii="Arial" w:hAnsi="Arial"/>
          <w:color w:val="000000"/>
          <w:position w:val="0"/>
          <w:sz w:val="20"/>
          <w:sz w:val="20"/>
          <w:szCs w:val="20"/>
          <w:highlight w:val="yellow"/>
          <w:vertAlign w:val="baseline"/>
        </w:rPr>
        <w:t>[XXXXX] horas/dias</w:t>
      </w:r>
      <w:r>
        <w:rPr>
          <w:rFonts w:eastAsia="Arial" w:cs="Arial" w:ascii="Arial" w:hAnsi="Arial"/>
          <w:color w:val="000000"/>
          <w:position w:val="0"/>
          <w:sz w:val="20"/>
          <w:sz w:val="20"/>
          <w:szCs w:val="20"/>
          <w:highlight w:val="white"/>
          <w:vertAlign w:val="baseline"/>
        </w:rPr>
        <w:t xml:space="preserve">, contado da solicitação do pregoeiro, </w:t>
      </w:r>
      <w:r>
        <w:rPr>
          <w:rFonts w:eastAsia="Arial" w:cs="Arial" w:ascii="Arial" w:hAnsi="Arial"/>
          <w:color w:val="000000"/>
          <w:position w:val="0"/>
          <w:sz w:val="20"/>
          <w:sz w:val="20"/>
          <w:szCs w:val="20"/>
          <w:vertAlign w:val="baseline"/>
        </w:rPr>
        <w:t xml:space="preserve">com os respectivos valores readequados ao lance vencedor, </w:t>
      </w:r>
      <w:r>
        <w:rPr>
          <w:rFonts w:eastAsia="Arial" w:cs="Arial" w:ascii="Arial" w:hAnsi="Arial"/>
          <w:color w:val="000000"/>
          <w:position w:val="0"/>
          <w:sz w:val="20"/>
          <w:sz w:val="20"/>
          <w:szCs w:val="20"/>
          <w:highlight w:val="white"/>
          <w:vertAlign w:val="baseline"/>
        </w:rPr>
        <w:t xml:space="preserve">e será analisada pelo Pregoeiro no momento da </w:t>
      </w:r>
      <w:r>
        <w:rPr>
          <w:rFonts w:eastAsia="Arial" w:cs="Arial" w:ascii="Arial" w:hAnsi="Arial"/>
          <w:color w:val="000000"/>
          <w:position w:val="0"/>
          <w:sz w:val="20"/>
          <w:sz w:val="20"/>
          <w:szCs w:val="20"/>
          <w:vertAlign w:val="baseline"/>
        </w:rPr>
        <w:t>aceitação do lance vencedor.</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existência de valores de serviços unitários isolados, na planilha orçamentária do licitante, inferiores aos serviços unitários da planilha orçamentária referencial não caracteriza motivo suficiente para a desclassificação da proposta, desde que aqueles valores sejam valores adequados, mantendo-se o valor da proposta.</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w:t>
      </w:r>
      <w:bookmarkStart w:id="3" w:name="bookmark=id.3znysh7"/>
      <w:bookmarkEnd w:id="3"/>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erá desclassificada a proposta ou o lance vencedor que:</w:t>
      </w:r>
    </w:p>
    <w:p>
      <w:pPr>
        <w:pStyle w:val="Normal1"/>
        <w:spacing w:lineRule="auto" w:line="240" w:before="57" w:after="0"/>
        <w:ind w:right="-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7.2.1 </w:t>
      </w:r>
      <w:r>
        <w:rPr>
          <w:rFonts w:eastAsia="Arial" w:cs="Arial" w:ascii="Arial" w:hAnsi="Arial"/>
          <w:color w:val="000000"/>
          <w:position w:val="0"/>
          <w:sz w:val="20"/>
          <w:sz w:val="20"/>
          <w:szCs w:val="20"/>
          <w:vertAlign w:val="baseline"/>
        </w:rPr>
        <w:t>não estiver em conformidade com os requisitos estabelecidos neste edital;</w:t>
      </w:r>
    </w:p>
    <w:p>
      <w:pPr>
        <w:pStyle w:val="Normal1"/>
        <w:spacing w:lineRule="auto" w:line="240" w:before="57" w:after="0"/>
        <w:ind w:right="-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7.2.2</w:t>
      </w:r>
      <w:r>
        <w:rPr>
          <w:rFonts w:eastAsia="Arial" w:cs="Arial" w:ascii="Arial" w:hAnsi="Arial"/>
          <w:color w:val="000000"/>
          <w:position w:val="0"/>
          <w:sz w:val="20"/>
          <w:sz w:val="20"/>
          <w:szCs w:val="20"/>
          <w:vertAlign w:val="baseline"/>
        </w:rPr>
        <w:t xml:space="preserve"> contenha vício insanável ou ilegalidade;</w:t>
      </w:r>
    </w:p>
    <w:p>
      <w:pPr>
        <w:pStyle w:val="Normal1"/>
        <w:spacing w:lineRule="auto" w:line="240" w:before="57" w:after="0"/>
        <w:ind w:right="-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7.2.3</w:t>
      </w:r>
      <w:r>
        <w:rPr>
          <w:rFonts w:eastAsia="Arial" w:cs="Arial" w:ascii="Arial" w:hAnsi="Arial"/>
          <w:color w:val="000000"/>
          <w:position w:val="0"/>
          <w:sz w:val="20"/>
          <w:sz w:val="20"/>
          <w:szCs w:val="20"/>
          <w:vertAlign w:val="baseline"/>
        </w:rPr>
        <w:t xml:space="preserve"> não apresente as especificações técnicas exigidas nos elementos técnicos instrutores;</w:t>
      </w:r>
    </w:p>
    <w:p>
      <w:pPr>
        <w:pStyle w:val="Normal1"/>
        <w:spacing w:lineRule="auto" w:line="240" w:before="57" w:after="0"/>
        <w:ind w:right="-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7.2.4</w:t>
      </w:r>
      <w:r>
        <w:rPr>
          <w:rFonts w:eastAsia="Arial" w:cs="Arial" w:ascii="Arial" w:hAnsi="Arial"/>
          <w:color w:val="000000"/>
          <w:position w:val="0"/>
          <w:sz w:val="20"/>
          <w:sz w:val="20"/>
          <w:szCs w:val="20"/>
          <w:vertAlign w:val="baseline"/>
        </w:rPr>
        <w:t xml:space="preserve"> apresentar preço final superior ao preço máximo fixado, percentual de desconto inferior ao mínimo exigido, ou que apresentar preço manifestamente inexequível;</w:t>
      </w:r>
    </w:p>
    <w:p>
      <w:pPr>
        <w:pStyle w:val="Normal1"/>
        <w:spacing w:lineRule="auto" w:line="240" w:before="57" w:after="0"/>
        <w:ind w:right="-15"/>
        <w:jc w:val="both"/>
        <w:rPr>
          <w:position w:val="0"/>
          <w:sz w:val="24"/>
          <w:sz w:val="24"/>
          <w:vertAlign w:val="baseline"/>
        </w:rPr>
      </w:pPr>
      <w:r>
        <w:rPr>
          <w:rFonts w:eastAsia="Arial" w:cs="Arial" w:ascii="Arial" w:hAnsi="Arial"/>
          <w:b/>
          <w:color w:val="000000"/>
          <w:position w:val="0"/>
          <w:sz w:val="20"/>
          <w:sz w:val="20"/>
          <w:szCs w:val="20"/>
          <w:vertAlign w:val="baseline"/>
        </w:rPr>
        <w:t xml:space="preserve">7.2.4.1 </w:t>
      </w:r>
      <w:r>
        <w:rPr>
          <w:rFonts w:eastAsia="Arial" w:cs="Arial" w:ascii="Arial" w:hAnsi="Arial"/>
          <w:color w:val="000000"/>
          <w:position w:val="0"/>
          <w:sz w:val="20"/>
          <w:sz w:val="20"/>
          <w:szCs w:val="20"/>
          <w:vertAlign w:val="baseline"/>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1"/>
        <w:spacing w:lineRule="auto" w:line="240" w:before="57" w:after="0"/>
        <w:ind w:right="-15"/>
        <w:jc w:val="both"/>
        <w:rPr>
          <w:position w:val="0"/>
          <w:sz w:val="24"/>
          <w:sz w:val="24"/>
          <w:vertAlign w:val="baseline"/>
        </w:rPr>
      </w:pPr>
      <w:r>
        <w:rPr>
          <w:position w:val="0"/>
          <w:sz w:val="24"/>
          <w:sz w:val="24"/>
          <w:vertAlign w:val="baseline"/>
        </w:rPr>
      </w:r>
    </w:p>
    <w:tbl>
      <w:tblPr>
        <w:tblStyle w:val="Table34"/>
        <w:tblW w:w="9081" w:type="dxa"/>
        <w:jc w:val="left"/>
        <w:tblInd w:w="-55" w:type="dxa"/>
        <w:tblLayout w:type="fixed"/>
        <w:tblCellMar>
          <w:top w:w="0" w:type="dxa"/>
          <w:left w:w="108" w:type="dxa"/>
          <w:bottom w:w="0" w:type="dxa"/>
          <w:right w:w="108" w:type="dxa"/>
        </w:tblCellMar>
        <w:tblLook w:val="0000"/>
      </w:tblPr>
      <w:tblGrid>
        <w:gridCol w:w="9081"/>
      </w:tblGrid>
      <w:tr>
        <w:trPr/>
        <w:tc>
          <w:tcPr>
            <w:tcW w:w="9081"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18</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Liberation Serif" w:hAnsi="Liberation Serif" w:eastAsia="Liberation Serif" w:cs="Liberation Serif"/>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val="false"/>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Atentar para a adoção de apenas um dos critérios de aceitabilidade da menor proposta ou lance vencedor, assim como para a distinção entre valor máximo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os elementos técnicos instrutores deverão indicar o valor máximo aceitável para cada item licitado.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57" w:after="0"/>
        <w:ind w:right="-15"/>
        <w:jc w:val="both"/>
        <w:rPr>
          <w:position w:val="0"/>
          <w:sz w:val="24"/>
          <w:sz w:val="24"/>
          <w:vertAlign w:val="baseline"/>
        </w:rPr>
      </w:pPr>
      <w:r>
        <w:rPr>
          <w:position w:val="0"/>
          <w:sz w:val="24"/>
          <w:sz w:val="24"/>
          <w:vertAlign w:val="baseline"/>
        </w:rPr>
      </w:r>
    </w:p>
    <w:p>
      <w:pPr>
        <w:pStyle w:val="Normal1"/>
        <w:spacing w:lineRule="auto" w:line="240" w:before="57" w:after="0"/>
        <w:ind w:right="-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7.3</w:t>
      </w:r>
      <w:r>
        <w:rPr>
          <w:rFonts w:eastAsia="Arial" w:cs="Arial" w:ascii="Arial" w:hAnsi="Arial"/>
          <w:color w:val="000000"/>
          <w:position w:val="0"/>
          <w:sz w:val="20"/>
          <w:sz w:val="20"/>
          <w:szCs w:val="20"/>
          <w:vertAlign w:val="baseline"/>
        </w:rPr>
        <w:t xml:space="preserve"> serão consideradas inexequíveis as propostas cujos valores forem inferiores a 75% (setenta e cinco por cento) do valor orçado pela Administração.</w:t>
      </w:r>
    </w:p>
    <w:p>
      <w:pPr>
        <w:pStyle w:val="Normal1"/>
        <w:spacing w:lineRule="auto" w:line="240" w:before="57" w:after="0"/>
        <w:ind w:right="-15"/>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7.3.1</w:t>
      </w:r>
      <w:r>
        <w:rPr>
          <w:rFonts w:eastAsia="Arial" w:cs="Arial" w:ascii="Arial" w:hAnsi="Arial"/>
          <w:color w:val="000000"/>
          <w:position w:val="0"/>
          <w:sz w:val="20"/>
          <w:sz w:val="20"/>
          <w:szCs w:val="20"/>
          <w:vertAlign w:val="baseline"/>
        </w:rPr>
        <w:t xml:space="preserve"> Se houver indícios de inexequibilidade da proposta de preço, ou em caso da necessidade de esclarecimentos complementares</w:t>
      </w:r>
      <w:r>
        <w:rPr>
          <w:rFonts w:eastAsia="Arial" w:cs="Arial" w:ascii="Arial" w:hAnsi="Arial"/>
          <w:position w:val="0"/>
          <w:sz w:val="20"/>
          <w:sz w:val="20"/>
          <w:szCs w:val="20"/>
          <w:vertAlign w:val="baseline"/>
        </w:rPr>
        <w:t>, poderão ser efetuadas diligências</w:t>
      </w:r>
      <w:r>
        <w:rPr>
          <w:rFonts w:eastAsia="Arial" w:cs="Arial" w:ascii="Arial" w:hAnsi="Arial"/>
          <w:color w:val="C9211E"/>
          <w:position w:val="0"/>
          <w:sz w:val="20"/>
          <w:sz w:val="20"/>
          <w:szCs w:val="20"/>
          <w:vertAlign w:val="baseline"/>
        </w:rPr>
        <w:t>,</w:t>
      </w:r>
      <w:r>
        <w:rPr>
          <w:rFonts w:eastAsia="Arial" w:cs="Arial" w:ascii="Arial" w:hAnsi="Arial"/>
          <w:color w:val="000000"/>
          <w:position w:val="0"/>
          <w:sz w:val="20"/>
          <w:sz w:val="20"/>
          <w:szCs w:val="20"/>
          <w:vertAlign w:val="baseline"/>
        </w:rPr>
        <w:t xml:space="preserve"> na forma do previsto no art. 92 do Decreto n.º 10.086, de 2022, para que a empresa comprove a exequibilidade da proposta.</w:t>
      </w:r>
    </w:p>
    <w:p>
      <w:pPr>
        <w:pStyle w:val="Normal1"/>
        <w:spacing w:lineRule="auto" w:line="240" w:before="57" w:after="0"/>
        <w:ind w:right="-15"/>
        <w:jc w:val="both"/>
        <w:rPr>
          <w:b/>
          <w:color w:val="000000"/>
          <w:position w:val="0"/>
          <w:sz w:val="20"/>
          <w:sz w:val="20"/>
          <w:szCs w:val="20"/>
          <w:vertAlign w:val="baseline"/>
        </w:rPr>
      </w:pPr>
      <w:r>
        <w:rPr>
          <w:rFonts w:eastAsia="Arial" w:cs="Arial" w:ascii="Arial" w:hAnsi="Arial"/>
          <w:b/>
          <w:position w:val="0"/>
          <w:sz w:val="20"/>
          <w:sz w:val="20"/>
          <w:szCs w:val="20"/>
          <w:vertAlign w:val="baseline"/>
        </w:rPr>
        <w:t>7.4</w:t>
      </w:r>
      <w:r>
        <w:rPr>
          <w:rFonts w:eastAsia="Arial" w:cs="Arial" w:ascii="Arial" w:hAnsi="Arial"/>
          <w:position w:val="0"/>
          <w:sz w:val="20"/>
          <w:sz w:val="20"/>
          <w:szCs w:val="20"/>
          <w:vertAlign w:val="baseline"/>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o previsto na Lei 14.133/2021.</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Qualquer interessado poderá requerer que se realizem diligências para aferir a exequibilidade e a legalidade das propostas, devendo apresentar as provas ou os indícios que fundamentam a suspeita.</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7.7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Pregoeiro poderá convocar o licitante para enviar documento digital complementar, por meio de funcionalidade disponível no sistema, no prazo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,sob pena de não aceitação da proposta.</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7.7.1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É facultado ao pregoeiro prorrogar o prazo estabelecido, a partir de solicitação fundamentada feita no chat pelo licitante, antes de findo o prazo.</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7.7.2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Dentre os documentos passíveis de solicitação pelo Pregoeiro, destacam-se as planilhas orçamentárias readequadas com o valor final ofertado.</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7.8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Todos os dados informados pelo licitante em sua planilha orçamentária deverão refletir com fidelidade os custos especificados, a margem de lucro pretendida e as despesas indiretas.</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Pregoeiro analisará a compatibilidade dos preços unitários apresentados na Planilha de Custos e Formação de Preços com os da planilha orçamentária referencial;</w:t>
      </w:r>
    </w:p>
    <w:p>
      <w:pPr>
        <w:pStyle w:val="Normal1"/>
        <w:keepNext w:val="false"/>
        <w:keepLines w:val="false"/>
        <w:pageBreakBefore w:val="false"/>
        <w:widowControl/>
        <w:shd w:val="clear" w:fill="auto"/>
        <w:spacing w:lineRule="auto" w:line="240" w:before="57" w:after="0"/>
        <w:ind w:hanging="0" w:left="0" w:right="-15"/>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tbl>
      <w:tblPr>
        <w:tblStyle w:val="Table35"/>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19</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0"/>
              <w:ind w:firstLine="9" w:left="-9"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57" w:after="0"/>
              <w:ind w:hanging="0" w:left="-9"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val="false"/>
              <w:shd w:val="clear" w:fill="FFFF00"/>
              <w:tabs>
                <w:tab w:val="left" w:pos="720" w:leader="none"/>
              </w:tabs>
              <w:spacing w:lineRule="auto" w:line="240" w:before="57" w:after="0"/>
              <w:ind w:hanging="0"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 Administração deverá fixar tempo mínimo razoável para eventual apresentação do documento solicitado, considerando, para tanto, a complexidade da licitação.</w:t>
            </w:r>
          </w:p>
        </w:tc>
      </w:tr>
    </w:tbl>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7.10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 a proposta ou lance vencedor for desclassificado, o Pregoeiro examinará a proposta ou lance subsequente, e, assim sucessivamente, na ordem de classificação.</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Havendo necessidade, o Pregoeiro suspenderá a sessão, informando no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chat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nova data e horário para a sua continuidade.</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7.12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Também nas hipóteses em que o Pregoeiro não aceitar a proposta e passar à subsequente, poderá negociar com o licitante para que seja obtido preço melhor.</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7.14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negociação será realizada por meio do sistema, podendo ser acompanhada pelos demais licitantes.</w:t>
      </w:r>
    </w:p>
    <w:p>
      <w:pPr>
        <w:pStyle w:val="Normal1"/>
        <w:keepNext w:val="false"/>
        <w:keepLines w:val="false"/>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7.15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Federal nº 123, de 2006, seguindo-se a disciplina antes estabelecida, se for o caso.</w:t>
      </w:r>
    </w:p>
    <w:p>
      <w:pPr>
        <w:pStyle w:val="Normal1"/>
        <w:spacing w:lineRule="auto" w:line="240" w:before="57" w:after="0"/>
        <w:ind w:right="-15"/>
        <w:jc w:val="both"/>
        <w:rPr>
          <w:position w:val="0"/>
          <w:sz w:val="24"/>
          <w:sz w:val="24"/>
          <w:vertAlign w:val="baseline"/>
        </w:rPr>
      </w:pPr>
      <w:r>
        <w:rPr>
          <w:rFonts w:eastAsia="Arial" w:cs="Arial" w:ascii="Arial" w:hAnsi="Arial"/>
          <w:b/>
          <w:color w:val="000000"/>
          <w:position w:val="0"/>
          <w:sz w:val="20"/>
          <w:sz w:val="20"/>
          <w:szCs w:val="20"/>
          <w:highlight w:val="white"/>
          <w:vertAlign w:val="baseline"/>
        </w:rPr>
        <w:t xml:space="preserve">7.16 </w:t>
      </w:r>
      <w:r>
        <w:rPr>
          <w:rFonts w:eastAsia="Arial" w:cs="Arial" w:ascii="Arial" w:hAnsi="Arial"/>
          <w:color w:val="000000"/>
          <w:position w:val="0"/>
          <w:sz w:val="20"/>
          <w:sz w:val="20"/>
          <w:szCs w:val="20"/>
          <w:highlight w:val="white"/>
          <w:vertAlign w:val="baseline"/>
        </w:rPr>
        <w:t>Encerrada a análise quanto à aceitação da proposta, o pregoeiro verificará a habilitação do licitante, observado o disposto neste Edital.</w:t>
      </w:r>
    </w:p>
    <w:p>
      <w:pPr>
        <w:pStyle w:val="Normal1"/>
        <w:tabs>
          <w:tab w:val="clear" w:pos="720"/>
          <w:tab w:val="left" w:pos="567" w:leader="none"/>
        </w:tabs>
        <w:spacing w:lineRule="auto" w:line="240" w:before="57" w:after="0"/>
        <w:ind w:hanging="0" w:left="9" w:right="-55"/>
        <w:jc w:val="both"/>
        <w:rPr>
          <w:position w:val="0"/>
          <w:sz w:val="24"/>
          <w:sz w:val="24"/>
          <w:vertAlign w:val="baseline"/>
        </w:rPr>
      </w:pPr>
      <w:r>
        <w:rPr>
          <w:position w:val="0"/>
          <w:sz w:val="24"/>
          <w:sz w:val="24"/>
          <w:vertAlign w:val="baseline"/>
        </w:rPr>
      </w:r>
    </w:p>
    <w:p>
      <w:pPr>
        <w:pStyle w:val="Normal1"/>
        <w:tabs>
          <w:tab w:val="clear" w:pos="720"/>
          <w:tab w:val="left" w:pos="567" w:leader="none"/>
        </w:tabs>
        <w:spacing w:lineRule="auto" w:line="240" w:before="57" w:after="0"/>
        <w:ind w:hanging="0" w:left="9" w:right="-5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8. DA APRESENTAÇÃO DA PROPOSTA E </w:t>
      </w:r>
      <w:r>
        <w:rPr>
          <w:rFonts w:eastAsia="Arial" w:cs="Arial" w:ascii="Arial" w:hAnsi="Arial"/>
          <w:b/>
          <w:color w:val="000000"/>
          <w:position w:val="0"/>
          <w:sz w:val="20"/>
          <w:sz w:val="20"/>
          <w:szCs w:val="20"/>
          <w:vertAlign w:val="baseline"/>
        </w:rPr>
        <w:t>DOS DOCUMENTOS DE HABILITAÇÃO</w:t>
      </w:r>
    </w:p>
    <w:p>
      <w:pPr>
        <w:pStyle w:val="Normal1"/>
        <w:tabs>
          <w:tab w:val="clear" w:pos="720"/>
          <w:tab w:val="left" w:pos="567" w:leader="none"/>
        </w:tabs>
        <w:spacing w:lineRule="auto" w:line="240" w:before="57" w:after="0"/>
        <w:ind w:hanging="0" w:left="9" w:right="-5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8.1</w:t>
      </w:r>
      <w:r>
        <w:rPr>
          <w:rFonts w:eastAsia="Arial" w:cs="Arial" w:ascii="Arial" w:hAnsi="Arial"/>
          <w:color w:val="000000"/>
          <w:position w:val="0"/>
          <w:sz w:val="24"/>
          <w:sz w:val="24"/>
          <w:vertAlign w:val="baseline"/>
        </w:rPr>
        <w:t xml:space="preserve"> </w:t>
      </w:r>
      <w:r>
        <w:rPr>
          <w:rFonts w:eastAsia="Arial" w:cs="Arial" w:ascii="Arial" w:hAnsi="Arial"/>
          <w:color w:val="000000"/>
          <w:position w:val="0"/>
          <w:sz w:val="20"/>
          <w:sz w:val="20"/>
          <w:szCs w:val="20"/>
          <w:vertAlign w:val="baseline"/>
        </w:rPr>
        <w:t>Os licitantes encaminharão, exclusivamente por meio de sistema eletrônico, a proposta com a descrição do objeto ofertado e o preço final proposto (conforme modelo do Anexo III) e os documentos de habilitação (conforme Anexo II), até a data e o horário estabelecidos pelo pregoeiro.</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8.2 </w:t>
      </w:r>
      <w:r>
        <w:rPr>
          <w:rFonts w:eastAsia="Arial" w:cs="Arial" w:ascii="Arial" w:hAnsi="Arial"/>
          <w:color w:val="000000"/>
          <w:position w:val="0"/>
          <w:sz w:val="20"/>
          <w:sz w:val="20"/>
          <w:szCs w:val="20"/>
          <w:vertAlign w:val="baseline"/>
        </w:rPr>
        <w:t>O envio da proposta ocorrerá por meio de chave de acesso e senha.</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8.3</w:t>
      </w:r>
      <w:r>
        <w:rPr>
          <w:rFonts w:eastAsia="Arial" w:cs="Arial" w:ascii="Arial" w:hAnsi="Arial"/>
          <w:color w:val="000000"/>
          <w:position w:val="0"/>
          <w:sz w:val="20"/>
          <w:sz w:val="20"/>
          <w:szCs w:val="20"/>
          <w:vertAlign w:val="baseline"/>
        </w:rPr>
        <w:t xml:space="preserve"> Os licitantes poderão deixar de apresentar os documentos de habilitação que constem no sistema de registro cadastral unificado disponível no Portal Nacional de Contratações Públicas (PNCP) ou do Cadastro Unificado de Fornecedores do Estado do Paraná, desde que os referidos documentos estejam atualizados, assegurado aos demais licitantes o direito de acesso aos dados constantes dos sistemas.</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8.4</w:t>
      </w:r>
      <w:r>
        <w:rPr>
          <w:rFonts w:eastAsia="Arial" w:cs="Arial" w:ascii="Arial" w:hAnsi="Arial"/>
          <w:color w:val="000000"/>
          <w:position w:val="0"/>
          <w:sz w:val="20"/>
          <w:sz w:val="20"/>
          <w:szCs w:val="20"/>
          <w:vertAlign w:val="baseline"/>
        </w:rPr>
        <w:t xml:space="preserve"> Os licitantes deverão encaminhar a documentação de habilitação, ainda que haja alguma restrição de regularidade fiscal e trabalhista, nos termos do art. 43, § 1º da Lei Complementar Federal n.º 123, de 2006.</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8.5</w:t>
      </w:r>
      <w:r>
        <w:rPr>
          <w:rFonts w:eastAsia="Arial" w:cs="Arial" w:ascii="Arial" w:hAnsi="Arial"/>
          <w:color w:val="000000"/>
          <w:position w:val="0"/>
          <w:sz w:val="20"/>
          <w:sz w:val="20"/>
          <w:szCs w:val="20"/>
          <w:vertAlign w:val="baseline"/>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8.6</w:t>
      </w:r>
      <w:r>
        <w:rPr>
          <w:rFonts w:eastAsia="Arial" w:cs="Arial" w:ascii="Arial" w:hAnsi="Arial"/>
          <w:color w:val="000000"/>
          <w:position w:val="0"/>
          <w:sz w:val="20"/>
          <w:sz w:val="20"/>
          <w:szCs w:val="20"/>
          <w:vertAlign w:val="baseline"/>
        </w:rPr>
        <w:t xml:space="preserve"> Até a abertura da sessão pública, os licitantes poderão retirar ou substituir a proposta anteriormente inserida no sistema.</w:t>
      </w:r>
    </w:p>
    <w:p>
      <w:pPr>
        <w:pStyle w:val="Normal1"/>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8.7 </w:t>
      </w:r>
      <w:r>
        <w:rPr>
          <w:rFonts w:eastAsia="Arial" w:cs="Arial" w:ascii="Arial" w:hAnsi="Arial"/>
          <w:color w:val="000000"/>
          <w:position w:val="0"/>
          <w:sz w:val="20"/>
          <w:sz w:val="20"/>
          <w:szCs w:val="20"/>
          <w:vertAlign w:val="baseline"/>
        </w:rPr>
        <w:t>Não será estabelecida, nessa etapa do certame, ordem de classificação entre as propostas apresentadas, o que somente ocorrerá após a realização dos procedimentos de negociação e julgamento da proposta.</w:t>
      </w:r>
    </w:p>
    <w:p>
      <w:pPr>
        <w:pStyle w:val="Normal1"/>
        <w:spacing w:lineRule="auto" w:line="240" w:before="57" w:after="0"/>
        <w:jc w:val="both"/>
        <w:rPr>
          <w:rFonts w:ascii="Arial" w:hAnsi="Arial" w:eastAsia="Arial" w:cs="Arial"/>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8.8</w:t>
      </w:r>
      <w:r>
        <w:rPr>
          <w:rFonts w:eastAsia="Arial" w:cs="Arial" w:ascii="Arial" w:hAnsi="Arial"/>
          <w:color w:val="000000"/>
          <w:position w:val="0"/>
          <w:sz w:val="20"/>
          <w:sz w:val="20"/>
          <w:szCs w:val="20"/>
          <w:vertAlign w:val="baseline"/>
        </w:rPr>
        <w:t xml:space="preserve"> Os documentos que compõem a proposta e a habilitação do licitante melhor classificado somente serão disponibilizados para avaliação do(a) pregoeiro(a) e para acesso público após o encerramento do envio de lances fechados.</w:t>
      </w:r>
    </w:p>
    <w:p>
      <w:pPr>
        <w:pStyle w:val="Normal1"/>
        <w:spacing w:lineRule="auto" w:line="240" w:before="57" w:after="0"/>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9.</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b/>
          <w:color w:val="000000"/>
          <w:position w:val="0"/>
          <w:sz w:val="20"/>
          <w:sz w:val="20"/>
          <w:szCs w:val="20"/>
          <w:highlight w:val="white"/>
          <w:vertAlign w:val="baseline"/>
        </w:rPr>
        <w:t>DESCRITIVO DA PROPOSTA</w:t>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9.1 </w:t>
      </w:r>
      <w:r>
        <w:rPr>
          <w:rFonts w:eastAsia="Arial" w:cs="Arial" w:ascii="Arial" w:hAnsi="Arial"/>
          <w:color w:val="000000"/>
          <w:position w:val="0"/>
          <w:sz w:val="20"/>
          <w:sz w:val="20"/>
          <w:szCs w:val="20"/>
          <w:vertAlign w:val="baseline"/>
        </w:rPr>
        <w:t>A proposta deverá ser formulada de acordo com o valor final da disputa, sem emendas, rasuras ou entrelinhas, assinada por meio eletrônico com uso de certificação digital ICP-Brasil, pelo representante legal do licitante (ou seu procurador devidamente qualificado) e deverá conter, de acordo com o modelo definido neste edital, a identificação da licitação, o CNPJ e o nome empresarial completo do licitante, a</w:t>
      </w:r>
      <w:r>
        <w:rPr>
          <w:rFonts w:eastAsia="Arial" w:cs="Arial" w:ascii="Arial" w:hAnsi="Arial"/>
          <w:color w:val="000000"/>
          <w:position w:val="0"/>
          <w:sz w:val="20"/>
          <w:sz w:val="20"/>
          <w:szCs w:val="20"/>
          <w:highlight w:val="white"/>
          <w:vertAlign w:val="baseline"/>
        </w:rPr>
        <w:t xml:space="preserve"> descrição do produto/serviço oferecido para cada item e/ou lote da licitação; o valor global, os preços unitários e globais por item e/ou lote, cotados em moeda corrente nacional; e o prazo de validade da proposta, que não poderá ser inferior ao estabelecido no edital.</w:t>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9.1.1 </w:t>
      </w:r>
      <w:r>
        <w:rPr>
          <w:rFonts w:eastAsia="Arial" w:cs="Arial" w:ascii="Arial" w:hAnsi="Arial"/>
          <w:color w:val="000000"/>
          <w:position w:val="0"/>
          <w:sz w:val="20"/>
          <w:sz w:val="20"/>
          <w:szCs w:val="20"/>
          <w:highlight w:val="white"/>
          <w:vertAlign w:val="baseline"/>
        </w:rPr>
        <w:t>A proposta definitiva deverá observar os preços unitários máximos da planilha de composição de preços fixada pelo edital e seus anexos, sob pena de desclassificação, inclusive quando o(s) lote(s) reunir(em) itens diversos e independente do critério de disputa.</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9.1.2 </w:t>
      </w:r>
      <w:r>
        <w:rPr>
          <w:rFonts w:eastAsia="Arial" w:cs="Arial" w:ascii="Arial" w:hAnsi="Arial"/>
          <w:color w:val="000000"/>
          <w:position w:val="0"/>
          <w:sz w:val="20"/>
          <w:sz w:val="20"/>
          <w:szCs w:val="20"/>
          <w:highlight w:val="white"/>
          <w:vertAlign w:val="baseline"/>
        </w:rPr>
        <w:t>Constatado erro de cálculo em qualquer operação, o(a) pregoeiro(a) poderá efetuar diligência visando sanar o erro ou falha, desde que não alterem a substância da proposta, do documento e sua validade jurídica.</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9.2</w:t>
      </w:r>
      <w:r>
        <w:rPr>
          <w:rFonts w:eastAsia="Arial" w:cs="Arial" w:ascii="Arial" w:hAnsi="Arial"/>
          <w:color w:val="000000"/>
          <w:position w:val="0"/>
          <w:sz w:val="20"/>
          <w:sz w:val="20"/>
          <w:szCs w:val="20"/>
          <w:vertAlign w:val="baseline"/>
        </w:rPr>
        <w:t xml:space="preserve"> Para a Proposta de Preços o licitante arrematante, por meio de sistema eletrônico, deverá entregar:</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9.3</w:t>
      </w:r>
      <w:r>
        <w:rPr>
          <w:rFonts w:eastAsia="Arial" w:cs="Arial" w:ascii="Arial" w:hAnsi="Arial"/>
          <w:color w:val="000000"/>
          <w:position w:val="0"/>
          <w:sz w:val="20"/>
          <w:sz w:val="20"/>
          <w:szCs w:val="20"/>
          <w:vertAlign w:val="baseline"/>
        </w:rPr>
        <w:t xml:space="preserve"> A Carta Proposta de Preços, conforme Anexo III, deverá conter as seguintes informações:</w:t>
      </w:r>
    </w:p>
    <w:p>
      <w:pPr>
        <w:pStyle w:val="Normal1"/>
        <w:widowControl w:val="false"/>
        <w:tabs>
          <w:tab w:val="clear" w:pos="720"/>
          <w:tab w:val="left" w:pos="851"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9.3.1</w:t>
      </w:r>
      <w:r>
        <w:rPr>
          <w:rFonts w:eastAsia="Arial" w:cs="Arial" w:ascii="Arial" w:hAnsi="Arial"/>
          <w:color w:val="000000"/>
          <w:position w:val="0"/>
          <w:sz w:val="20"/>
          <w:sz w:val="20"/>
          <w:szCs w:val="20"/>
          <w:vertAlign w:val="baseline"/>
        </w:rPr>
        <w:t xml:space="preserve"> Preço total final proposto, cotado em reais, em algarismos e por extenso, com duas casas decimais, e ainda de acordo com o item 8.3 e seus subitens da Minuta do Contrato;</w:t>
      </w:r>
    </w:p>
    <w:p>
      <w:pPr>
        <w:pStyle w:val="Normal1"/>
        <w:widowControl w:val="false"/>
        <w:tabs>
          <w:tab w:val="clear" w:pos="720"/>
          <w:tab w:val="left" w:pos="851" w:leader="none"/>
        </w:tabs>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9.3.2</w:t>
      </w:r>
      <w:r>
        <w:rPr>
          <w:rFonts w:eastAsia="Arial" w:cs="Arial" w:ascii="Arial" w:hAnsi="Arial"/>
          <w:color w:val="000000"/>
          <w:position w:val="0"/>
          <w:sz w:val="20"/>
          <w:sz w:val="20"/>
          <w:szCs w:val="20"/>
          <w:vertAlign w:val="baseline"/>
        </w:rPr>
        <w:t xml:space="preserve"> Prazo de validade da proposta não inferior a </w:t>
      </w:r>
      <w:r>
        <w:rPr>
          <w:rFonts w:eastAsia="Arial" w:cs="Arial" w:ascii="Arial" w:hAnsi="Arial"/>
          <w:color w:val="000000"/>
          <w:position w:val="0"/>
          <w:sz w:val="20"/>
          <w:sz w:val="20"/>
          <w:szCs w:val="20"/>
          <w:highlight w:val="yellow"/>
          <w:vertAlign w:val="baseline"/>
        </w:rPr>
        <w:t>XXXX (XXXX)</w:t>
      </w:r>
      <w:r>
        <w:rPr>
          <w:rFonts w:eastAsia="Arial" w:cs="Arial" w:ascii="Arial" w:hAnsi="Arial"/>
          <w:color w:val="000000"/>
          <w:position w:val="0"/>
          <w:sz w:val="20"/>
          <w:sz w:val="20"/>
          <w:szCs w:val="20"/>
          <w:vertAlign w:val="baseline"/>
        </w:rPr>
        <w:t xml:space="preserve"> dias, contados a partir da data de abertura da licitação;</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6"/>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20</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Liberation Serif" w:hAnsi="Liberation Serif" w:eastAsia="Liberation Serif" w:cs="Liberation Serif"/>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val="false"/>
              <w:shd w:val="clear" w:fill="FFFF00"/>
              <w:tabs>
                <w:tab w:val="left" w:pos="720"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prazo de validade das propostas será estabelecido de forma justificada neste edital de acordo com as peculiaridades da licitação e do mercado próprio do objeto.</w:t>
            </w:r>
          </w:p>
        </w:tc>
      </w:tr>
    </w:tbl>
    <w:p>
      <w:pPr>
        <w:pStyle w:val="Normal1"/>
        <w:keepNext w:val="false"/>
        <w:keepLines w:val="false"/>
        <w:pageBreakBefore w:val="false"/>
        <w:widowControl w:val="false"/>
        <w:shd w:val="clear" w:fill="auto"/>
        <w:tabs>
          <w:tab w:val="clear" w:pos="720"/>
          <w:tab w:val="left" w:pos="851" w:leader="none"/>
        </w:tabs>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widowControl w:val="false"/>
        <w:tabs>
          <w:tab w:val="clear" w:pos="720"/>
          <w:tab w:val="left" w:pos="851"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9.3.3</w:t>
      </w:r>
      <w:r>
        <w:rPr>
          <w:rFonts w:eastAsia="Arial" w:cs="Arial" w:ascii="Arial" w:hAnsi="Arial"/>
          <w:color w:val="000000"/>
          <w:position w:val="0"/>
          <w:sz w:val="20"/>
          <w:sz w:val="20"/>
          <w:szCs w:val="20"/>
          <w:vertAlign w:val="baseline"/>
        </w:rPr>
        <w:t xml:space="preserve"> Assinatura do representante legal, identificando-o com o nome e o CPF;</w:t>
      </w:r>
    </w:p>
    <w:p>
      <w:pPr>
        <w:pStyle w:val="Normal1"/>
        <w:widowControl w:val="false"/>
        <w:tabs>
          <w:tab w:val="clear" w:pos="720"/>
          <w:tab w:val="left" w:pos="851"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9.3.4</w:t>
      </w:r>
      <w:r>
        <w:rPr>
          <w:rFonts w:eastAsia="Arial" w:cs="Arial" w:ascii="Arial" w:hAnsi="Arial"/>
          <w:color w:val="000000"/>
          <w:position w:val="0"/>
          <w:sz w:val="20"/>
          <w:sz w:val="20"/>
          <w:szCs w:val="20"/>
          <w:vertAlign w:val="baseline"/>
        </w:rPr>
        <w:t xml:space="preserve"> Razão Social e CNPJ do licitante;</w:t>
      </w:r>
    </w:p>
    <w:p>
      <w:pPr>
        <w:pStyle w:val="Normal1"/>
        <w:widowControl w:val="false"/>
        <w:tabs>
          <w:tab w:val="clear" w:pos="720"/>
          <w:tab w:val="left" w:pos="9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9.3.5</w:t>
      </w:r>
      <w:r>
        <w:rPr>
          <w:rFonts w:eastAsia="Arial" w:cs="Arial" w:ascii="Arial" w:hAnsi="Arial"/>
          <w:color w:val="000000"/>
          <w:position w:val="0"/>
          <w:sz w:val="20"/>
          <w:sz w:val="20"/>
          <w:szCs w:val="20"/>
          <w:vertAlign w:val="baseline"/>
        </w:rPr>
        <w:t xml:space="preserve"> Caso haja divergência entre o valor da proposta numérico e o valor por extenso, prevalecerá este último;</w:t>
      </w:r>
    </w:p>
    <w:p>
      <w:pPr>
        <w:pStyle w:val="Normal1"/>
        <w:widowControl w:val="false"/>
        <w:tabs>
          <w:tab w:val="clear" w:pos="720"/>
          <w:tab w:val="left" w:pos="9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9.3.6</w:t>
      </w:r>
      <w:r>
        <w:rPr>
          <w:rFonts w:eastAsia="Arial" w:cs="Arial" w:ascii="Arial" w:hAnsi="Arial"/>
          <w:color w:val="000000"/>
          <w:position w:val="0"/>
          <w:sz w:val="20"/>
          <w:sz w:val="20"/>
          <w:szCs w:val="20"/>
          <w:highlight w:val="white"/>
          <w:vertAlign w:val="baseline"/>
        </w:rPr>
        <w:t xml:space="preserve"> No arredondamento do cálculo do preço a ser apresentado na Carta proposta, deverá ser considerado somente duas casas decimais após a vírgula, desprezando-se as demais.</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9.4</w:t>
      </w:r>
      <w:r>
        <w:rPr>
          <w:rFonts w:eastAsia="Arial" w:cs="Arial" w:ascii="Arial" w:hAnsi="Arial"/>
          <w:color w:val="000000"/>
          <w:position w:val="0"/>
          <w:sz w:val="20"/>
          <w:sz w:val="20"/>
          <w:szCs w:val="20"/>
          <w:highlight w:val="white"/>
          <w:vertAlign w:val="baseline"/>
        </w:rPr>
        <w:t xml:space="preserve"> Considera-se como representante legal qualquer pessoa credenciada pelo licitante, mediante contrato, procuração ou documento equivalente.</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9.4.1</w:t>
      </w:r>
      <w:r>
        <w:rPr>
          <w:rFonts w:eastAsia="Arial" w:cs="Arial" w:ascii="Arial" w:hAnsi="Arial"/>
          <w:color w:val="000000"/>
          <w:position w:val="0"/>
          <w:sz w:val="20"/>
          <w:sz w:val="20"/>
          <w:szCs w:val="20"/>
          <w:highlight w:val="white"/>
          <w:vertAlign w:val="baseline"/>
        </w:rPr>
        <w:t xml:space="preserve"> Observação: cada credenciado poderá representar apenas um licitante.</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9.5 </w:t>
      </w:r>
      <w:r>
        <w:rPr>
          <w:rFonts w:eastAsia="Arial" w:cs="Arial" w:ascii="Arial" w:hAnsi="Arial"/>
          <w:color w:val="000000"/>
          <w:position w:val="0"/>
          <w:sz w:val="20"/>
          <w:sz w:val="20"/>
          <w:szCs w:val="20"/>
          <w:highlight w:val="white"/>
          <w:vertAlign w:val="baseline"/>
        </w:rPr>
        <w:t>As Microempresas ou Empresas de Pequeno Porte deverão anexar:</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9.5.1</w:t>
      </w:r>
      <w:r>
        <w:rPr>
          <w:rFonts w:eastAsia="Arial" w:cs="Arial" w:ascii="Arial" w:hAnsi="Arial"/>
          <w:color w:val="000000"/>
          <w:position w:val="0"/>
          <w:sz w:val="20"/>
          <w:sz w:val="20"/>
          <w:szCs w:val="20"/>
          <w:vertAlign w:val="baseline"/>
        </w:rPr>
        <w:t xml:space="preserve"> A declaração de que o licitante se enquadra na condição de Microempresa ou Empresa de Pequeno Porte, não se incluindo nas situações de que trata o artigo 3º, parágrafo 4º, da Lei Complementar Federal nº 123/2006 e suas alterações, conforme Anexo IV.</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9.5.1.1</w:t>
      </w:r>
      <w:r>
        <w:rPr>
          <w:rFonts w:eastAsia="Arial" w:cs="Arial" w:ascii="Arial" w:hAnsi="Arial"/>
          <w:color w:val="000000"/>
          <w:position w:val="0"/>
          <w:sz w:val="20"/>
          <w:sz w:val="20"/>
          <w:szCs w:val="20"/>
          <w:vertAlign w:val="baseline"/>
        </w:rPr>
        <w:t xml:space="preserve"> A falsidade de declaração prestada objetivando os benefícios instituídos à Microempresa e Empresa de Pequeno Porte caracteriza o crime de que trata o artigo 299 do Código Penal, sem prejuízo de enquadramento em outras figuras penais, bem como sujeitará a pessoa jurídica à sanção de impedimento de participar de licitações e de ser contratada por qualquer órgão ou entidade da Administração Pública pelo prazo de até cinco anos.</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9.5.2</w:t>
      </w:r>
      <w:r>
        <w:rPr>
          <w:rFonts w:eastAsia="Arial" w:cs="Arial" w:ascii="Arial" w:hAnsi="Arial"/>
          <w:color w:val="000000"/>
          <w:position w:val="0"/>
          <w:sz w:val="20"/>
          <w:sz w:val="20"/>
          <w:szCs w:val="20"/>
          <w:vertAlign w:val="baseline"/>
        </w:rPr>
        <w:t xml:space="preserve"> Certidão Simplificada da Junta Comercial ou documento equivalente com os benefícios da Lei Complementar Federal nº 123/2006 e suas alterações, emitida em até no máximo 60 (sessenta) dias antes da data prevista para a abertura da Licitação.</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9.5.3</w:t>
      </w:r>
      <w:r>
        <w:rPr>
          <w:rFonts w:eastAsia="Arial" w:cs="Arial" w:ascii="Arial" w:hAnsi="Arial"/>
          <w:color w:val="000000"/>
          <w:position w:val="0"/>
          <w:sz w:val="20"/>
          <w:sz w:val="20"/>
          <w:szCs w:val="20"/>
          <w:vertAlign w:val="baseline"/>
        </w:rPr>
        <w:t xml:space="preserve"> Demonstrativo de Resultado do Exercício – DRE, a que se refere a Resolução nº 1.418/2012, de Conselho Federal de Contabilidade – CFC, ou outra norma que vier a substituir.</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9.5.4</w:t>
      </w:r>
      <w:r>
        <w:rPr>
          <w:rFonts w:eastAsia="Arial" w:cs="Arial" w:ascii="Arial" w:hAnsi="Arial"/>
          <w:color w:val="000000"/>
          <w:position w:val="0"/>
          <w:sz w:val="20"/>
          <w:sz w:val="20"/>
          <w:szCs w:val="20"/>
          <w:vertAlign w:val="baseline"/>
        </w:rPr>
        <w:t xml:space="preserve"> Empresas que não se enquadram na definição de Microempresa ou Empresa de Pequeno Porte, ou ainda, que não desejem usufruir do tratamento diferenciado e favorecido que estabelece a Lei Complementar Federal nº 123/2006 e suas alterações, estão dispensadas de apresentar o documento descrito no item acima. A não comprovação da condição de Microempresa e Empresa de Pequeno Porte, implica participação no pleito sem os benefícios da Lei Complementar Federal nº 123/2006 e suas alterações.</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9.5.5</w:t>
      </w:r>
      <w:r>
        <w:rPr>
          <w:rFonts w:eastAsia="Arial" w:cs="Arial" w:ascii="Arial" w:hAnsi="Arial"/>
          <w:color w:val="000000"/>
          <w:position w:val="0"/>
          <w:sz w:val="20"/>
          <w:sz w:val="20"/>
          <w:szCs w:val="20"/>
          <w:highlight w:val="white"/>
          <w:vertAlign w:val="baseline"/>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9.5.5.1</w:t>
      </w:r>
      <w:r>
        <w:rPr>
          <w:rFonts w:eastAsia="Arial" w:cs="Arial" w:ascii="Arial" w:hAnsi="Arial"/>
          <w:color w:val="000000"/>
          <w:position w:val="0"/>
          <w:sz w:val="20"/>
          <w:sz w:val="20"/>
          <w:szCs w:val="20"/>
          <w:vertAlign w:val="baseline"/>
        </w:rPr>
        <w:t xml:space="preserve"> O Cronograma Físico-Financeiro deverá prever parcelas a cada 30 (trinta) dias.</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9.5.5.2</w:t>
      </w:r>
      <w:r>
        <w:rPr>
          <w:rFonts w:eastAsia="Arial" w:cs="Arial" w:ascii="Arial" w:hAnsi="Arial"/>
          <w:color w:val="000000"/>
          <w:position w:val="0"/>
          <w:sz w:val="20"/>
          <w:sz w:val="20"/>
          <w:szCs w:val="20"/>
          <w:highlight w:val="white"/>
          <w:vertAlign w:val="baseline"/>
        </w:rPr>
        <w:t xml:space="preserve"> O Cronograma Físico-Financeiro deverá apresentar na última parcela valor não inferior a 11% (onze por cento) do valor global proposto;</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9.5.5.3</w:t>
      </w:r>
      <w:r>
        <w:rPr>
          <w:rFonts w:eastAsia="Arial" w:cs="Arial" w:ascii="Arial" w:hAnsi="Arial"/>
          <w:color w:val="000000"/>
          <w:position w:val="0"/>
          <w:sz w:val="20"/>
          <w:sz w:val="20"/>
          <w:szCs w:val="20"/>
          <w:highlight w:val="white"/>
          <w:vertAlign w:val="baseline"/>
        </w:rPr>
        <w:t xml:space="preserve"> O Cronograma Físico-Financeiro apresentado pela empresa vencedora do certame deverá ser aprovado pelo Órgão Licitante antes da assinatura do contrato;</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9.5.5.4</w:t>
      </w:r>
      <w:r>
        <w:rPr>
          <w:rFonts w:eastAsia="Arial" w:cs="Arial" w:ascii="Arial" w:hAnsi="Arial"/>
          <w:color w:val="000000"/>
          <w:position w:val="0"/>
          <w:sz w:val="20"/>
          <w:sz w:val="20"/>
          <w:szCs w:val="20"/>
          <w:highlight w:val="white"/>
          <w:vertAlign w:val="baseline"/>
        </w:rPr>
        <w:t xml:space="preserve"> O Cronograma Físico-Financeiro deverá ser assinado pelo Responsável Técnico do licitante, com menção do seu título profissional e número da Carteira Profissional;</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9.5.5.5</w:t>
      </w:r>
      <w:r>
        <w:rPr>
          <w:rFonts w:eastAsia="Arial" w:cs="Arial" w:ascii="Arial" w:hAnsi="Arial"/>
          <w:color w:val="000000"/>
          <w:position w:val="0"/>
          <w:sz w:val="20"/>
          <w:sz w:val="20"/>
          <w:szCs w:val="20"/>
          <w:highlight w:val="white"/>
          <w:vertAlign w:val="baseline"/>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pPr>
        <w:pStyle w:val="Normal1"/>
        <w:widowControl w:val="false"/>
        <w:tabs>
          <w:tab w:val="clear" w:pos="720"/>
          <w:tab w:val="left" w:pos="426"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9.6</w:t>
      </w:r>
      <w:r>
        <w:rPr>
          <w:rFonts w:eastAsia="Arial" w:cs="Arial" w:ascii="Arial" w:hAnsi="Arial"/>
          <w:color w:val="000000"/>
          <w:position w:val="0"/>
          <w:sz w:val="20"/>
          <w:sz w:val="20"/>
          <w:szCs w:val="20"/>
          <w:highlight w:val="white"/>
          <w:vertAlign w:val="baseline"/>
        </w:rPr>
        <w:t xml:space="preserve"> A apresentação dos documentos constantes neste item faz prova de que o licitante arrematante:</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9.6.1</w:t>
      </w:r>
      <w:r>
        <w:rPr>
          <w:rFonts w:eastAsia="Arial" w:cs="Arial" w:ascii="Arial" w:hAnsi="Arial"/>
          <w:color w:val="000000"/>
          <w:position w:val="0"/>
          <w:sz w:val="20"/>
          <w:sz w:val="20"/>
          <w:szCs w:val="20"/>
          <w:highlight w:val="white"/>
          <w:vertAlign w:val="baseline"/>
        </w:rPr>
        <w:t xml:space="preserve"> Tomou conhecimento de todas as informações, elementos técnicos instrutores e das condições locais para o cumprimento do objeto da licitação;</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9.6.2</w:t>
      </w:r>
      <w:r>
        <w:rPr>
          <w:rFonts w:eastAsia="Arial" w:cs="Arial" w:ascii="Arial" w:hAnsi="Arial"/>
          <w:color w:val="000000"/>
          <w:position w:val="0"/>
          <w:sz w:val="20"/>
          <w:sz w:val="20"/>
          <w:szCs w:val="20"/>
          <w:highlight w:val="white"/>
          <w:vertAlign w:val="baseline"/>
        </w:rPr>
        <w:t xml:space="preserve"> Aceitou os termos deste Edital;</w:t>
      </w:r>
    </w:p>
    <w:p>
      <w:pPr>
        <w:pStyle w:val="Normal1"/>
        <w:widowControl w:val="false"/>
        <w:tabs>
          <w:tab w:val="clear" w:pos="720"/>
          <w:tab w:val="left" w:pos="709" w:leader="none"/>
        </w:tabs>
        <w:spacing w:lineRule="auto" w:line="240" w:before="57" w:after="57"/>
        <w:jc w:val="both"/>
        <w:rPr>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9.6.3</w:t>
      </w:r>
      <w:r>
        <w:rPr>
          <w:rFonts w:eastAsia="Arial" w:cs="Arial" w:ascii="Arial" w:hAnsi="Arial"/>
          <w:color w:val="000000"/>
          <w:position w:val="0"/>
          <w:sz w:val="20"/>
          <w:sz w:val="20"/>
          <w:szCs w:val="20"/>
          <w:highlight w:val="white"/>
          <w:vertAlign w:val="baseline"/>
        </w:rPr>
        <w:t xml:space="preserve"> Sendo vencedora da licitação assumirá integral responsabilidade pela perfeita e completa execução dos serviços a serem contratados.</w:t>
      </w:r>
    </w:p>
    <w:p>
      <w:pPr>
        <w:pStyle w:val="Normal1"/>
        <w:keepNext w:val="false"/>
        <w:keepLines w:val="false"/>
        <w:pageBreakBefore w:val="false"/>
        <w:widowControl/>
        <w:shd w:val="clear" w:fill="auto"/>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9.7</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Todas as especificações do objeto contidas na proposta vinculam a Contratada.</w:t>
      </w:r>
    </w:p>
    <w:p>
      <w:pPr>
        <w:pStyle w:val="Normal1"/>
        <w:keepNext w:val="false"/>
        <w:keepLines w:val="false"/>
        <w:pageBreakBefore w:val="false"/>
        <w:widowControl/>
        <w:shd w:val="clear" w:fill="auto"/>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9.8</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Nos valores propostos estarão inclusos todos os custos operacionais, encargos previdenciários, trabalhistas, tributários, comerciais e quaisquer outros que incidam direta ou indiretamente na execução do objeto.</w:t>
      </w:r>
    </w:p>
    <w:p>
      <w:pPr>
        <w:pStyle w:val="Normal1"/>
        <w:spacing w:lineRule="auto" w:line="240" w:before="57" w:after="57"/>
        <w:jc w:val="both"/>
        <w:rPr>
          <w:b/>
          <w:color w:val="000000"/>
          <w:position w:val="0"/>
          <w:sz w:val="20"/>
          <w:sz w:val="20"/>
          <w:szCs w:val="20"/>
          <w:vertAlign w:val="baseline"/>
        </w:rPr>
      </w:pPr>
      <w:r>
        <w:rPr>
          <w:rFonts w:eastAsia="Arial" w:cs="Arial" w:ascii="Arial" w:hAnsi="Arial"/>
          <w:b/>
          <w:color w:val="000000"/>
          <w:position w:val="0"/>
          <w:sz w:val="20"/>
          <w:sz w:val="20"/>
          <w:szCs w:val="20"/>
          <w:vertAlign w:val="baseline"/>
        </w:rPr>
        <w:t>9.9.</w:t>
      </w:r>
      <w:r>
        <w:rPr>
          <w:rFonts w:eastAsia="Arial" w:cs="Arial" w:ascii="Arial" w:hAnsi="Arial"/>
          <w:color w:val="000000"/>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1"/>
        <w:keepNext w:val="false"/>
        <w:keepLines w:val="false"/>
        <w:pageBreakBefore w:val="false"/>
        <w:widowControl/>
        <w:shd w:val="clear" w:fill="auto"/>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9.10</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As ofertas de propostas dos licitantes devem respeitar os preços máximos estabelecidos neste Edital.</w:t>
      </w:r>
    </w:p>
    <w:p>
      <w:pPr>
        <w:pStyle w:val="Normal1"/>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9.11</w:t>
      </w:r>
      <w:r>
        <w:rPr>
          <w:rFonts w:eastAsia="Arial" w:cs="Arial" w:ascii="Arial" w:hAnsi="Arial"/>
          <w:color w:val="000000"/>
          <w:position w:val="0"/>
          <w:sz w:val="20"/>
          <w:sz w:val="20"/>
          <w:szCs w:val="20"/>
          <w:vertAlign w:val="baseline"/>
        </w:rPr>
        <w:t xml:space="preserve"> </w:t>
      </w:r>
      <w:r>
        <w:rPr>
          <w:rFonts w:eastAsia="Arial" w:cs="Arial" w:ascii="Arial" w:hAnsi="Arial"/>
          <w:position w:val="0"/>
          <w:sz w:val="20"/>
          <w:sz w:val="20"/>
          <w:szCs w:val="20"/>
          <w:vertAlign w:val="baseline"/>
        </w:rPr>
        <w:t>Nos termos do §1º do Art. 63 da Lei Federal n.º 14.133/2021, o licitante deverá declarar, sob pena de desclassificação, que sua proposta econômica compreende a integralidade dos custos para atendimento dos direitos trabalhistas assegurados na Constituição Federal, nas leis trabalhistas, nas normas infralegais, nas convenções coletivas de trabalho e nos termos de ajustamento de conduta vigente na data de entrega das propostas, conforme Anexo VI.</w:t>
      </w:r>
    </w:p>
    <w:p>
      <w:pPr>
        <w:pStyle w:val="Normal1"/>
        <w:spacing w:lineRule="auto" w:line="240" w:before="57" w:after="0"/>
        <w:ind w:hanging="0" w:left="9" w:right="-55"/>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0"/>
        <w:ind w:hanging="0" w:left="9" w:right="-55"/>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bookmarkStart w:id="4" w:name="_heading=h.2et92p0"/>
      <w:bookmarkEnd w:id="4"/>
      <w:r>
        <w:rPr>
          <w:rFonts w:eastAsia="Arial" w:cs="Arial" w:ascii="Arial" w:hAnsi="Arial"/>
          <w:b/>
          <w:color w:val="000000"/>
          <w:position w:val="0"/>
          <w:sz w:val="20"/>
          <w:sz w:val="20"/>
          <w:szCs w:val="20"/>
          <w:highlight w:val="white"/>
          <w:vertAlign w:val="baseline"/>
        </w:rPr>
        <w:t>10. OS RECURSOS</w:t>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10.1</w:t>
      </w:r>
      <w:r>
        <w:rPr>
          <w:rFonts w:eastAsia="Arial" w:cs="Arial" w:ascii="Arial" w:hAnsi="Arial"/>
          <w:color w:val="000000"/>
          <w:position w:val="0"/>
          <w:sz w:val="20"/>
          <w:sz w:val="20"/>
          <w:szCs w:val="20"/>
          <w:highlight w:val="white"/>
          <w:vertAlign w:val="baseline"/>
        </w:rPr>
        <w:t xml:space="preserve"> Qualquer licitante poderá, em campo próprio do sistema de compras eletrônicas, manifestar de forma imediata e motivada a intenção de recorrer, sob pena de preclusão, em relação às fases de julgamento e habilitação, possuindo o prazo de 3 (três) dias úteis para apresentação das razões recursais após a formalização do término da etapa que antecede a adjudicação.</w:t>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10.1.1</w:t>
      </w:r>
      <w:r>
        <w:rPr>
          <w:rFonts w:eastAsia="Arial" w:cs="Arial" w:ascii="Arial" w:hAnsi="Arial"/>
          <w:color w:val="000000"/>
          <w:position w:val="0"/>
          <w:sz w:val="20"/>
          <w:sz w:val="20"/>
          <w:szCs w:val="20"/>
          <w:highlight w:val="white"/>
          <w:vertAlign w:val="baseline"/>
        </w:rPr>
        <w:t xml:space="preserve"> As razões recursais devem ser apresentadas exclusivamente por meio eletrônico e com uso de certificação digital ICP-Brasil.</w:t>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10.1.2</w:t>
      </w:r>
      <w:r>
        <w:rPr>
          <w:rFonts w:eastAsia="Arial" w:cs="Arial" w:ascii="Arial" w:hAnsi="Arial"/>
          <w:color w:val="000000"/>
          <w:position w:val="0"/>
          <w:sz w:val="20"/>
          <w:sz w:val="20"/>
          <w:szCs w:val="20"/>
          <w:highlight w:val="white"/>
          <w:vertAlign w:val="baseline"/>
        </w:rPr>
        <w:t xml:space="preserve"> Os demais licitantes ficarão desde logo intimados para apresentar contrarrazões ao recurso no prazo de 3 (três) dias úteis contados do término do prazo de apresentação das razões do recorrente, exclusivamente por meio eletrônico e assinadas com uso de certificação digital ICP-Brasil.</w:t>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10.2 </w:t>
      </w:r>
      <w:r>
        <w:rPr>
          <w:rFonts w:eastAsia="Arial" w:cs="Arial" w:ascii="Arial" w:hAnsi="Arial"/>
          <w:color w:val="000000"/>
          <w:position w:val="0"/>
          <w:sz w:val="20"/>
          <w:sz w:val="20"/>
          <w:szCs w:val="20"/>
          <w:highlight w:val="white"/>
          <w:vertAlign w:val="baseline"/>
        </w:rPr>
        <w:t>A não apresentação das razões recursais no prazo fixado implicará a decadência do direito de recorrer.</w:t>
      </w:r>
    </w:p>
    <w:p>
      <w:pPr>
        <w:pStyle w:val="Normal1"/>
        <w:spacing w:lineRule="auto" w:line="240" w:before="57" w:after="0"/>
        <w:ind w:hanging="0" w:left="9" w:right="-55"/>
        <w:jc w:val="both"/>
        <w:rPr>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10.3 </w:t>
      </w:r>
      <w:r>
        <w:rPr>
          <w:rFonts w:eastAsia="Arial" w:cs="Arial" w:ascii="Arial" w:hAnsi="Arial"/>
          <w:color w:val="000000"/>
          <w:position w:val="0"/>
          <w:sz w:val="20"/>
          <w:sz w:val="20"/>
          <w:szCs w:val="20"/>
          <w:highlight w:val="white"/>
          <w:vertAlign w:val="baseline"/>
        </w:rPr>
        <w:t>As razões e as contrarrazões de recurso que não forem apresentadas conforme o disposto nos itens anteriores, ou subscritas por representante não habilitado ou não credenciado para responder pelo licitante, não serão conhecidas pelo(a) pregoeiro(a).</w:t>
      </w:r>
    </w:p>
    <w:p>
      <w:pPr>
        <w:pStyle w:val="Normal1"/>
        <w:keepNext w:val="false"/>
        <w:keepLines w:val="false"/>
        <w:pageBreakBefore w:val="false"/>
        <w:widowControl w:val="false"/>
        <w:shd w:val="clear" w:fill="auto"/>
        <w:tabs>
          <w:tab w:val="left" w:pos="720" w:leader="none"/>
        </w:tabs>
        <w:spacing w:lineRule="auto" w:line="240" w:before="240"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10.4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autos do processo de licitação poderão ser acessados pelos interessados no sistema E-Protocolo no site </w:t>
      </w:r>
      <w:hyperlink r:id="rId7">
        <w:r>
          <w:rPr>
            <w:rStyle w:val="ListLabel111"/>
            <w:rFonts w:eastAsia="Arial" w:cs="Arial" w:ascii="Arial" w:hAnsi="Arial"/>
            <w:b w:val="false"/>
            <w:i w:val="false"/>
            <w:caps w:val="false"/>
            <w:smallCaps w:val="false"/>
            <w:strike w:val="false"/>
            <w:dstrike w:val="false"/>
            <w:color w:val="000080"/>
            <w:position w:val="0"/>
            <w:sz w:val="20"/>
            <w:sz w:val="20"/>
            <w:szCs w:val="20"/>
            <w:u w:val="single"/>
            <w:shd w:fill="auto" w:val="clear"/>
            <w:vertAlign w:val="baseline"/>
          </w:rPr>
          <w:t>https://www.e-protocolo.pr.gov.br</w:t>
        </w:r>
      </w:hyperlink>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false"/>
        <w:keepLines w:val="false"/>
        <w:pageBreakBefore w:val="false"/>
        <w:widowControl w:val="false"/>
        <w:shd w:val="clear" w:fill="auto"/>
        <w:tabs>
          <w:tab w:val="left" w:pos="720" w:leader="none"/>
        </w:tabs>
        <w:spacing w:lineRule="auto" w:line="240" w:before="240" w:after="0"/>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10.5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acolhimento do recurso implicará invalidação apenas de ato insuscetível de aproveitamento.</w:t>
      </w:r>
    </w:p>
    <w:p>
      <w:pPr>
        <w:pStyle w:val="Normal1"/>
        <w:spacing w:lineRule="auto" w:line="240" w:before="57" w:after="0"/>
        <w:ind w:hanging="0" w:left="9" w:right="-55"/>
        <w:jc w:val="both"/>
        <w:rPr>
          <w:position w:val="0"/>
          <w:sz w:val="24"/>
          <w:sz w:val="24"/>
          <w:vertAlign w:val="baseline"/>
        </w:rPr>
      </w:pPr>
      <w:r>
        <w:rPr>
          <w:position w:val="0"/>
          <w:sz w:val="24"/>
          <w:sz w:val="24"/>
          <w:vertAlign w:val="baseline"/>
        </w:rPr>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11. ADJUDICAÇÃO E HOMOLOGAÇÃO</w:t>
      </w:r>
    </w:p>
    <w:p>
      <w:pPr>
        <w:pStyle w:val="Normal1"/>
        <w:spacing w:lineRule="auto" w:line="240" w:before="57" w:after="0"/>
        <w:ind w:hanging="0" w:left="9" w:right="-55"/>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11.1 </w:t>
      </w:r>
      <w:r>
        <w:rPr>
          <w:rFonts w:eastAsia="Arial" w:cs="Arial" w:ascii="Arial" w:hAnsi="Arial"/>
          <w:color w:val="000000"/>
          <w:position w:val="0"/>
          <w:sz w:val="20"/>
          <w:sz w:val="20"/>
          <w:szCs w:val="20"/>
          <w:highlight w:val="white"/>
          <w:vertAlign w:val="baseline"/>
        </w:rPr>
        <w:t>Examinada a aceitabilidade da proposta, a regularidade e a habilitação do licitante vencedor,</w:t>
      </w:r>
      <w:r>
        <w:rPr>
          <w:rFonts w:eastAsia="Arial" w:cs="Arial" w:ascii="Arial" w:hAnsi="Arial"/>
          <w:color w:val="000000"/>
          <w:position w:val="0"/>
          <w:sz w:val="20"/>
          <w:sz w:val="20"/>
          <w:szCs w:val="20"/>
          <w:vertAlign w:val="baseline"/>
        </w:rPr>
        <w:t xml:space="preserve"> bem como a análise técnica referente às amostras,</w:t>
      </w:r>
      <w:r>
        <w:rPr>
          <w:rFonts w:eastAsia="Arial" w:cs="Arial" w:ascii="Arial" w:hAnsi="Arial"/>
          <w:color w:val="000000"/>
          <w:position w:val="0"/>
          <w:sz w:val="20"/>
          <w:sz w:val="20"/>
          <w:szCs w:val="20"/>
          <w:highlight w:val="white"/>
          <w:vertAlign w:val="baseline"/>
        </w:rPr>
        <w:t xml:space="preserve"> quando exigidas</w:t>
      </w:r>
      <w:r>
        <w:rPr>
          <w:rFonts w:eastAsia="Arial" w:cs="Arial"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white"/>
          <w:vertAlign w:val="baseline"/>
        </w:rPr>
        <w:t>o procedimento licitatório será encaminhado pelo(a) pregoeiro(a) à autoridade máxima para adjudicação e homologação.</w:t>
      </w:r>
    </w:p>
    <w:p>
      <w:pPr>
        <w:pStyle w:val="Normal1"/>
        <w:spacing w:lineRule="auto" w:line="240" w:before="57" w:after="0"/>
        <w:ind w:hanging="0" w:left="9" w:right="-55"/>
        <w:jc w:val="both"/>
        <w:rPr>
          <w:rFonts w:ascii="Arial" w:hAnsi="Arial" w:eastAsia="Arial" w:cs="Arial"/>
          <w:position w:val="0"/>
          <w:sz w:val="24"/>
          <w:sz w:val="24"/>
          <w:vertAlign w:val="baseline"/>
        </w:rPr>
      </w:pPr>
      <w:r>
        <w:rPr>
          <w:rFonts w:eastAsia="Arial" w:cs="Arial" w:ascii="Arial" w:hAnsi="Arial"/>
          <w:b/>
          <w:color w:val="000000"/>
          <w:position w:val="0"/>
          <w:sz w:val="20"/>
          <w:sz w:val="20"/>
          <w:szCs w:val="20"/>
          <w:highlight w:val="white"/>
          <w:vertAlign w:val="baseline"/>
        </w:rPr>
        <w:t>11.2</w:t>
      </w:r>
      <w:r>
        <w:rPr>
          <w:rFonts w:eastAsia="Arial" w:cs="Arial" w:ascii="Arial" w:hAnsi="Arial"/>
          <w:color w:val="000000"/>
          <w:position w:val="0"/>
          <w:sz w:val="20"/>
          <w:sz w:val="20"/>
          <w:szCs w:val="20"/>
          <w:highlight w:val="white"/>
          <w:vertAlign w:val="baseline"/>
        </w:rPr>
        <w:t xml:space="preserve"> Será permitida a adjudicação e a homologação parcial do procedimento licitatório, quando o seu objeto possuir mais de um lote.</w:t>
      </w:r>
    </w:p>
    <w:p>
      <w:pPr>
        <w:pStyle w:val="Normal1"/>
        <w:tabs>
          <w:tab w:val="clear" w:pos="720"/>
          <w:tab w:val="left" w:pos="302" w:leader="none"/>
        </w:tabs>
        <w:spacing w:lineRule="auto" w:line="240" w:before="57" w:after="0"/>
        <w:ind w:hanging="0" w:left="9" w:right="-55"/>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12 CONTRATO, RECEBIMENTO E PAGAMENTO</w:t>
      </w:r>
    </w:p>
    <w:p>
      <w:pPr>
        <w:pStyle w:val="Normal1"/>
        <w:tabs>
          <w:tab w:val="clear" w:pos="720"/>
          <w:tab w:val="left" w:pos="2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12.1 </w:t>
      </w:r>
      <w:r>
        <w:rPr>
          <w:rFonts w:eastAsia="Arial" w:cs="Arial" w:ascii="Arial" w:hAnsi="Arial"/>
          <w:color w:val="000000"/>
          <w:position w:val="0"/>
          <w:sz w:val="20"/>
          <w:sz w:val="20"/>
          <w:szCs w:val="20"/>
          <w:vertAlign w:val="baseline"/>
        </w:rPr>
        <w:t xml:space="preserve">O adjudicatário será notificado para assinar o contrato ou retirar a nota de empenho (ou documento equivalente) no prazo de </w:t>
      </w:r>
      <w:r>
        <w:rPr>
          <w:rFonts w:eastAsia="Arial" w:cs="Arial" w:ascii="Arial" w:hAnsi="Arial"/>
          <w:color w:val="000000"/>
          <w:position w:val="0"/>
          <w:sz w:val="20"/>
          <w:sz w:val="20"/>
          <w:szCs w:val="20"/>
          <w:highlight w:val="yellow"/>
          <w:vertAlign w:val="baseline"/>
        </w:rPr>
        <w:t>xxx (xxxx)</w:t>
      </w:r>
      <w:r>
        <w:rPr>
          <w:rFonts w:eastAsia="Arial" w:cs="Arial" w:ascii="Arial" w:hAnsi="Arial"/>
          <w:color w:val="000000"/>
          <w:position w:val="0"/>
          <w:sz w:val="20"/>
          <w:sz w:val="20"/>
          <w:szCs w:val="20"/>
          <w:vertAlign w:val="baseline"/>
        </w:rPr>
        <w:t xml:space="preserve"> dias úteis, prorrogável a critério</w:t>
      </w:r>
      <w:r>
        <w:rPr>
          <w:rFonts w:eastAsia="Arial" w:cs="Arial" w:ascii="Arial" w:hAnsi="Arial"/>
          <w:color w:val="000000"/>
          <w:position w:val="0"/>
          <w:sz w:val="20"/>
          <w:sz w:val="20"/>
          <w:szCs w:val="20"/>
          <w:highlight w:val="white"/>
          <w:vertAlign w:val="baseline"/>
        </w:rPr>
        <w:t xml:space="preserve"> do órgão ou entidade contratante, sob pena de decair do direito à contratação e incidir nas penalidades previstas neste edital.</w:t>
      </w:r>
    </w:p>
    <w:p>
      <w:pPr>
        <w:pStyle w:val="Normal1"/>
        <w:tabs>
          <w:tab w:val="clear" w:pos="720"/>
          <w:tab w:val="left" w:pos="2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12.2 </w:t>
      </w:r>
      <w:r>
        <w:rPr>
          <w:rFonts w:eastAsia="Arial" w:cs="Arial" w:ascii="Arial" w:hAnsi="Arial"/>
          <w:color w:val="000000"/>
          <w:position w:val="0"/>
          <w:sz w:val="20"/>
          <w:sz w:val="20"/>
          <w:szCs w:val="20"/>
          <w:highlight w:val="white"/>
          <w:vertAlign w:val="baseline"/>
        </w:rPr>
        <w:t>Para a assinatura do contrato ou retirada da nota de empenho, o adjudicatário deverá estar credenciado no Portal Nacional de Contratações Públicas (PNCP) e no Cadastro Unificado de Fornecedores do Estado do Paraná – CAUFPR, mantendo as condições de habilitação exigidas na licitação, para a comprovação das condições de habilitação consignadas no edital, que deverão ser mantidas pelo licitante durante a vigência do contrato.</w:t>
      </w:r>
    </w:p>
    <w:p>
      <w:pPr>
        <w:pStyle w:val="Normal1"/>
        <w:widowControl w:val="false"/>
        <w:tabs>
          <w:tab w:val="clear" w:pos="720"/>
          <w:tab w:val="left" w:pos="27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12.3 </w:t>
      </w:r>
      <w:r>
        <w:rPr>
          <w:rFonts w:eastAsia="Arial" w:cs="Arial" w:ascii="Arial" w:hAnsi="Arial"/>
          <w:color w:val="000000"/>
          <w:position w:val="0"/>
          <w:sz w:val="20"/>
          <w:sz w:val="20"/>
          <w:szCs w:val="20"/>
          <w:highlight w:val="white"/>
          <w:vertAlign w:val="baseline"/>
        </w:rPr>
        <w:t>Antes da assinatura do contrato, a Administração realizará consulta ao Cadastro Informativo Estadual – Cadin Estadual, haja vista a vedação contida no art. 3º, inc. I, da Lei Estadual nº 18.466, de 2015.</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12.4</w:t>
      </w:r>
      <w:r>
        <w:rPr>
          <w:rFonts w:eastAsia="Arial" w:cs="Arial" w:ascii="Arial" w:hAnsi="Arial"/>
          <w:color w:val="000000"/>
          <w:position w:val="0"/>
          <w:sz w:val="20"/>
          <w:sz w:val="20"/>
          <w:szCs w:val="20"/>
          <w:highlight w:val="white"/>
          <w:vertAlign w:val="baseline"/>
        </w:rPr>
        <w:t xml:space="preserve"> O adjudicatário deverá, antes da assinatura do contrato, apresentar Planilha Orçamentária para aprovação do Órgão Licitante.</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highlight w:val="white"/>
          <w:vertAlign w:val="baseline"/>
        </w:rPr>
      </w:pPr>
      <w:bookmarkStart w:id="5" w:name="_heading=h.tyjcwt"/>
      <w:bookmarkEnd w:id="5"/>
      <w:r>
        <w:rPr>
          <w:rFonts w:eastAsia="Arial" w:cs="Arial" w:ascii="Arial" w:hAnsi="Arial"/>
          <w:b/>
          <w:color w:val="000000"/>
          <w:position w:val="0"/>
          <w:sz w:val="20"/>
          <w:sz w:val="20"/>
          <w:szCs w:val="20"/>
          <w:highlight w:val="white"/>
          <w:vertAlign w:val="baseline"/>
        </w:rPr>
        <w:t>12.5</w:t>
      </w:r>
      <w:r>
        <w:rPr>
          <w:rFonts w:eastAsia="Arial" w:cs="Arial" w:ascii="Arial" w:hAnsi="Arial"/>
          <w:color w:val="000000"/>
          <w:position w:val="0"/>
          <w:sz w:val="20"/>
          <w:sz w:val="20"/>
          <w:szCs w:val="20"/>
          <w:highlight w:val="white"/>
          <w:vertAlign w:val="baseline"/>
        </w:rPr>
        <w:t xml:space="preserve"> O adjudicatário deverá assinar o Contrato no prazo máximo de </w:t>
      </w:r>
      <w:r>
        <w:rPr>
          <w:rFonts w:eastAsia="Arial" w:cs="Arial" w:ascii="Arial" w:hAnsi="Arial"/>
          <w:color w:val="000000"/>
          <w:position w:val="0"/>
          <w:sz w:val="20"/>
          <w:sz w:val="20"/>
          <w:szCs w:val="20"/>
          <w:highlight w:val="yellow"/>
          <w:vertAlign w:val="baseline"/>
        </w:rPr>
        <w:t>XXX (xxxx) dias</w:t>
      </w:r>
      <w:r>
        <w:rPr>
          <w:rFonts w:eastAsia="Arial" w:cs="Arial" w:ascii="Arial" w:hAnsi="Arial"/>
          <w:color w:val="000000"/>
          <w:position w:val="0"/>
          <w:sz w:val="20"/>
          <w:sz w:val="20"/>
          <w:szCs w:val="20"/>
          <w:highlight w:val="white"/>
          <w:vertAlign w:val="baseline"/>
        </w:rPr>
        <w:t xml:space="preserve"> úteis após o recebimento da convocação, podendo ser prorrogado por igual período mediante justificativa idônea aprovado pelo órgão licitante, contados a partir do recebimento do aviso, sob pena de decair do direito à contratação, sem prejuízo das sanções previstas neste Edital.</w:t>
      </w:r>
    </w:p>
    <w:p>
      <w:pPr>
        <w:pStyle w:val="Normal1"/>
        <w:tabs>
          <w:tab w:val="clear" w:pos="720"/>
          <w:tab w:val="left" w:pos="2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12.6 </w:t>
      </w:r>
      <w:bookmarkStart w:id="6" w:name="bookmark=id.3dy6vkm"/>
      <w:bookmarkEnd w:id="6"/>
      <w:r>
        <w:rPr>
          <w:rFonts w:eastAsia="Arial" w:cs="Arial" w:ascii="Arial" w:hAnsi="Arial"/>
          <w:color w:val="000000"/>
          <w:position w:val="0"/>
          <w:sz w:val="20"/>
          <w:sz w:val="20"/>
          <w:szCs w:val="20"/>
          <w:highlight w:val="white"/>
          <w:vertAlign w:val="baseline"/>
        </w:rPr>
        <w:t>Se o adjudicatário não apresentar as comprovações dos itens 12.2 e 12.3 ou se recusar a assinar o contrato ou retirar a nota de empenho, a Administração Pública poderá revogar a licitação, sem prejuízo da aplicação das cominações previstas na Lei Federal n.º 14.133/2021, e do Decreto n.º 10.086/2022, ou ainda, convocar os licitantes remanescentes, na ordem de classificação, para a celebração do contrato nas condições ofertadas pelo licitante vencedor.</w:t>
      </w:r>
      <w:bookmarkStart w:id="7" w:name="bookmark=id.1t3h5sf"/>
      <w:bookmarkEnd w:id="7"/>
    </w:p>
    <w:p>
      <w:pPr>
        <w:pStyle w:val="Normal1"/>
        <w:tabs>
          <w:tab w:val="clear" w:pos="720"/>
          <w:tab w:val="left" w:pos="293"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12.7 </w:t>
      </w:r>
      <w:r>
        <w:rPr>
          <w:rFonts w:eastAsia="Arial" w:cs="Arial" w:ascii="Arial" w:hAnsi="Arial"/>
          <w:color w:val="000000"/>
          <w:position w:val="0"/>
          <w:sz w:val="20"/>
          <w:sz w:val="20"/>
          <w:szCs w:val="20"/>
          <w:highlight w:val="white"/>
          <w:vertAlign w:val="baseline"/>
        </w:rPr>
        <w:t>A recusa injustificada do adjudicatário ou a justificativa não aceita pela Administração, implicará a instauração de procedimento administrativo autônomo para eventual aplicação de sanções administrativas.</w:t>
      </w:r>
    </w:p>
    <w:p>
      <w:pPr>
        <w:pStyle w:val="Normal1"/>
        <w:widowControl w:val="false"/>
        <w:tabs>
          <w:tab w:val="clear" w:pos="720"/>
          <w:tab w:val="left" w:pos="293"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12.8 </w:t>
      </w:r>
      <w:r>
        <w:rPr>
          <w:rFonts w:eastAsia="Arial" w:cs="Arial" w:ascii="Arial" w:hAnsi="Arial"/>
          <w:color w:val="000000"/>
          <w:position w:val="0"/>
          <w:sz w:val="20"/>
          <w:sz w:val="20"/>
          <w:szCs w:val="20"/>
          <w:vertAlign w:val="baseline"/>
        </w:rPr>
        <w:t>Na hipótese de nenhum dos licitantes aceitar a contratação nos termos do item 12.6, a Administração Pública poderá convocar os licitantes remanescentes, na ordem de classificação, para a celebração do contrato nas condições ofertadas por estes, desde que o valor seja igual ou inferior ao orçamento estimado para a contratação, inclusive quanto aos preços atualizados, nos termos do instrumento convocatório.</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12.9</w:t>
      </w:r>
      <w:r>
        <w:rPr>
          <w:rFonts w:eastAsia="Arial" w:cs="Arial" w:ascii="Arial" w:hAnsi="Arial"/>
          <w:color w:val="000000"/>
          <w:position w:val="0"/>
          <w:sz w:val="20"/>
          <w:sz w:val="20"/>
          <w:szCs w:val="20"/>
          <w:vertAlign w:val="baseline"/>
        </w:rPr>
        <w:t xml:space="preserve"> A Ordem de Serviço deverá ser assinada pelo contratado no prazo máximo de até</w:t>
      </w:r>
      <w:r>
        <w:rPr>
          <w:rFonts w:eastAsia="Arial" w:cs="Arial" w:ascii="Arial" w:hAnsi="Arial"/>
          <w:color w:val="000000"/>
          <w:position w:val="0"/>
          <w:sz w:val="20"/>
          <w:sz w:val="20"/>
          <w:szCs w:val="20"/>
          <w:highlight w:val="yellow"/>
          <w:vertAlign w:val="baseline"/>
        </w:rPr>
        <w:t xml:space="preserve"> [xx (XXXX)]</w:t>
      </w:r>
      <w:r>
        <w:rPr>
          <w:rFonts w:eastAsia="Arial" w:cs="Arial" w:ascii="Arial" w:hAnsi="Arial"/>
          <w:color w:val="FF4000"/>
          <w:position w:val="0"/>
          <w:sz w:val="20"/>
          <w:sz w:val="20"/>
          <w:szCs w:val="20"/>
          <w:vertAlign w:val="baseline"/>
        </w:rPr>
        <w:t xml:space="preserve"> </w:t>
      </w:r>
      <w:r>
        <w:rPr>
          <w:rFonts w:eastAsia="Arial" w:cs="Arial" w:ascii="Arial" w:hAnsi="Arial"/>
          <w:color w:val="000000"/>
          <w:position w:val="0"/>
          <w:sz w:val="20"/>
          <w:sz w:val="20"/>
          <w:szCs w:val="20"/>
          <w:vertAlign w:val="baseline"/>
        </w:rPr>
        <w:t>dias após a convocação pelo Órgão Licitante, podendo ser prorrogado por igual período mediante justificativa idônea aprovado pelo órgão licitante.</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12.10 </w:t>
      </w:r>
      <w:r>
        <w:rPr>
          <w:rFonts w:eastAsia="Arial" w:cs="Arial" w:ascii="Arial" w:hAnsi="Arial"/>
          <w:color w:val="000000"/>
          <w:position w:val="0"/>
          <w:sz w:val="20"/>
          <w:sz w:val="20"/>
          <w:szCs w:val="20"/>
          <w:vertAlign w:val="baseline"/>
        </w:rPr>
        <w:t>No ato da assinatura, a contratada fica obrigada a apresentar:</w:t>
      </w:r>
    </w:p>
    <w:p>
      <w:pPr>
        <w:pStyle w:val="Normal1"/>
        <w:widowControl w:val="false"/>
        <w:tabs>
          <w:tab w:val="clear" w:pos="720"/>
          <w:tab w:val="left" w:pos="709" w:leader="none"/>
        </w:tabs>
        <w:spacing w:lineRule="auto" w:line="240" w:before="57" w:after="57"/>
        <w:jc w:val="both"/>
        <w:rPr>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12.10.1</w:t>
      </w:r>
      <w:r>
        <w:rPr>
          <w:rFonts w:eastAsia="Arial" w:cs="Arial" w:ascii="Arial" w:hAnsi="Arial"/>
          <w:color w:val="000000"/>
          <w:position w:val="0"/>
          <w:sz w:val="20"/>
          <w:sz w:val="20"/>
          <w:szCs w:val="20"/>
          <w:highlight w:val="white"/>
          <w:vertAlign w:val="baseline"/>
        </w:rPr>
        <w:t xml:space="preserve"> Comprovação das condições de habilitação do Edital, conforme</w:t>
      </w:r>
      <w:r>
        <w:rPr>
          <w:rFonts w:eastAsia="Arial" w:cs="Arial" w:ascii="Arial" w:hAnsi="Arial"/>
          <w:position w:val="0"/>
          <w:sz w:val="20"/>
          <w:sz w:val="20"/>
          <w:szCs w:val="20"/>
          <w:highlight w:val="white"/>
          <w:vertAlign w:val="baseline"/>
        </w:rPr>
        <w:t xml:space="preserve"> </w:t>
      </w:r>
      <w:r>
        <w:rPr>
          <w:rFonts w:eastAsia="Arial" w:cs="Arial" w:ascii="Arial" w:hAnsi="Arial"/>
          <w:position w:val="0"/>
          <w:sz w:val="20"/>
          <w:sz w:val="20"/>
          <w:szCs w:val="20"/>
          <w:vertAlign w:val="baseline"/>
        </w:rPr>
        <w:t>Anexo XV</w:t>
      </w:r>
      <w:r>
        <w:rPr>
          <w:rFonts w:eastAsia="Arial" w:cs="Arial" w:ascii="Arial" w:hAnsi="Arial"/>
          <w:position w:val="0"/>
          <w:sz w:val="20"/>
          <w:sz w:val="20"/>
          <w:szCs w:val="20"/>
          <w:highlight w:val="white"/>
          <w:vertAlign w:val="baseline"/>
        </w:rPr>
        <w:t>, a</w:t>
      </w:r>
      <w:r>
        <w:rPr>
          <w:rFonts w:eastAsia="Arial" w:cs="Arial" w:ascii="Arial" w:hAnsi="Arial"/>
          <w:color w:val="000000"/>
          <w:position w:val="0"/>
          <w:sz w:val="20"/>
          <w:sz w:val="20"/>
          <w:szCs w:val="20"/>
          <w:highlight w:val="white"/>
          <w:vertAlign w:val="baseline"/>
        </w:rPr>
        <w:t>s quais deverão ser mantidas durante a vigência do contrato.</w:t>
      </w:r>
    </w:p>
    <w:p>
      <w:pPr>
        <w:pStyle w:val="Normal1"/>
        <w:keepNext w:val="false"/>
        <w:keepLines w:val="false"/>
        <w:pageBreakBefore w:val="false"/>
        <w:widowControl w:val="false"/>
        <w:shd w:val="clear" w:fill="auto"/>
        <w:tabs>
          <w:tab w:val="left" w:pos="720" w:leader="none"/>
        </w:tabs>
        <w:spacing w:lineRule="auto" w:line="240" w:before="57" w:after="57"/>
        <w:ind w:hanging="0" w:left="0" w:right="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12.10.2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certidão de registro com visto do CREA-PR e/ou CAU-PR, de acordo com o regulamento do respectivo conselho de classe, da Lei Federal n.º 5.194/1966, da Lei Federal n.º 12.378/2010.</w:t>
      </w:r>
    </w:p>
    <w:p>
      <w:pPr>
        <w:pStyle w:val="Normal1"/>
        <w:widowControl w:val="false"/>
        <w:tabs>
          <w:tab w:val="clear" w:pos="720"/>
          <w:tab w:val="left" w:pos="851" w:leader="none"/>
        </w:tabs>
        <w:spacing w:lineRule="auto" w:line="240" w:before="57" w:after="57"/>
        <w:jc w:val="both"/>
        <w:rPr>
          <w:position w:val="0"/>
          <w:sz w:val="24"/>
          <w:sz w:val="24"/>
          <w:highlight w:val="white"/>
          <w:vertAlign w:val="baseline"/>
        </w:rPr>
      </w:pPr>
      <w:r>
        <w:rPr>
          <w:position w:val="0"/>
          <w:sz w:val="24"/>
          <w:sz w:val="24"/>
          <w:highlight w:val="white"/>
          <w:vertAlign w:val="baseline"/>
        </w:rPr>
      </w:r>
    </w:p>
    <w:tbl>
      <w:tblPr>
        <w:tblStyle w:val="Table37"/>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21</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57" w:after="57"/>
              <w:ind w:hanging="0" w:left="0"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caso de o prazo de execução ser superior a 180 (cento e oitenta) dias a adjudicatária, antes da assinatura do contrato, deverá providenciar o registro no respectivo conselho de classe no estado do Paraná; caso o prazo o prazo de execução seja inferior ou igual a 180 (cento e oitenta) dias deverá solicitar visto no respectivo conselho do estado do Paraná.</w:t>
            </w:r>
          </w:p>
        </w:tc>
      </w:tr>
    </w:tbl>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12.11</w:t>
      </w:r>
      <w:r>
        <w:rPr>
          <w:rFonts w:eastAsia="Arial" w:cs="Arial" w:ascii="Arial" w:hAnsi="Arial"/>
          <w:color w:val="000000"/>
          <w:position w:val="0"/>
          <w:sz w:val="20"/>
          <w:sz w:val="20"/>
          <w:szCs w:val="20"/>
          <w:highlight w:val="white"/>
          <w:vertAlign w:val="baseline"/>
        </w:rPr>
        <w:t xml:space="preserve"> Os serviços licitados serão liberados para execução mediante Ordem de Serviço, subordinando-se às condições estabelecidas no contrato a ser firmado entre as partes, devendo a referida Ordem de </w:t>
      </w:r>
      <w:r>
        <w:rPr>
          <w:rFonts w:eastAsia="Arial" w:cs="Arial" w:ascii="Arial" w:hAnsi="Arial"/>
          <w:color w:val="000000"/>
          <w:position w:val="0"/>
          <w:sz w:val="20"/>
          <w:sz w:val="20"/>
          <w:szCs w:val="20"/>
          <w:vertAlign w:val="baseline"/>
        </w:rPr>
        <w:t>Serviço ser assinada pelo representante legal do Contratado.</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12.12</w:t>
      </w:r>
      <w:r>
        <w:rPr>
          <w:rFonts w:eastAsia="Arial" w:cs="Arial" w:ascii="Arial" w:hAnsi="Arial"/>
          <w:color w:val="000000"/>
          <w:position w:val="0"/>
          <w:sz w:val="20"/>
          <w:sz w:val="20"/>
          <w:szCs w:val="20"/>
          <w:vertAlign w:val="baseline"/>
        </w:rPr>
        <w:t xml:space="preserve"> O Contratado deverá comprovar o vínculo jurídico de toda a equipe técnica por meio da apresentação de documentos (ou fotocópias autenticadas na forma da Lei), conforme Anexo V do presente Edital.</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12.13 </w:t>
      </w:r>
      <w:r>
        <w:rPr>
          <w:rFonts w:eastAsia="Arial" w:cs="Arial" w:ascii="Arial" w:hAnsi="Arial"/>
          <w:color w:val="000000"/>
          <w:position w:val="0"/>
          <w:sz w:val="20"/>
          <w:sz w:val="20"/>
          <w:szCs w:val="20"/>
          <w:vertAlign w:val="baseline"/>
        </w:rPr>
        <w:t>Os profissionais indicados pelo Licitante deverão participar dos serviços objeto desta licitação, de acordo com o disposto no § 6.º do artigo 67 da Lei Federal n.º 14.133, de 2021 e atos normativos dos respectivos conselhos profissionais.</w:t>
      </w:r>
    </w:p>
    <w:p>
      <w:pPr>
        <w:pStyle w:val="Normal1"/>
        <w:widowControl w:val="false"/>
        <w:tabs>
          <w:tab w:val="clear" w:pos="720"/>
          <w:tab w:val="left" w:pos="56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12.14</w:t>
      </w:r>
      <w:r>
        <w:rPr>
          <w:rFonts w:eastAsia="Arial" w:cs="Arial" w:ascii="Arial" w:hAnsi="Arial"/>
          <w:color w:val="000000"/>
          <w:position w:val="0"/>
          <w:sz w:val="20"/>
          <w:sz w:val="20"/>
          <w:szCs w:val="20"/>
          <w:highlight w:val="white"/>
          <w:vertAlign w:val="baseline"/>
        </w:rPr>
        <w:t xml:space="preserve"> O contratado deverá apresentar a ART do CREA e/ou o RRT do CAU, acompanhadas do comprovante de pagamento do referido documento até a da</w:t>
      </w:r>
      <w:r>
        <w:rPr>
          <w:rFonts w:eastAsia="Arial" w:cs="Arial" w:ascii="Arial" w:hAnsi="Arial"/>
          <w:color w:val="000000"/>
          <w:position w:val="0"/>
          <w:sz w:val="20"/>
          <w:sz w:val="20"/>
          <w:szCs w:val="20"/>
          <w:vertAlign w:val="baseline"/>
        </w:rPr>
        <w:t>ta da assinatura do Contrato.</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12.14.1 </w:t>
      </w:r>
      <w:r>
        <w:rPr>
          <w:rFonts w:eastAsia="Arial" w:cs="Arial" w:ascii="Arial" w:hAnsi="Arial"/>
          <w:color w:val="000000"/>
          <w:position w:val="0"/>
          <w:sz w:val="20"/>
          <w:sz w:val="20"/>
          <w:szCs w:val="20"/>
          <w:vertAlign w:val="baseline"/>
        </w:rPr>
        <w:t>Deverá ser registrada a ART e/ou o RRT, conforme preceitua a legislação vigente, em nome do Responsável Técnico constante da Declaração de Responsabilidade Técnica, indicado conforme</w:t>
      </w:r>
      <w:r>
        <w:rPr>
          <w:rFonts w:eastAsia="Arial" w:cs="Arial" w:ascii="Arial" w:hAnsi="Arial"/>
          <w:color w:val="C9211E"/>
          <w:position w:val="0"/>
          <w:sz w:val="20"/>
          <w:sz w:val="20"/>
          <w:szCs w:val="20"/>
          <w:vertAlign w:val="baseline"/>
        </w:rPr>
        <w:t xml:space="preserve"> </w:t>
      </w:r>
      <w:r>
        <w:rPr>
          <w:rFonts w:eastAsia="Arial" w:cs="Arial" w:ascii="Arial" w:hAnsi="Arial"/>
          <w:position w:val="0"/>
          <w:sz w:val="20"/>
          <w:sz w:val="20"/>
          <w:szCs w:val="20"/>
          <w:vertAlign w:val="baseline"/>
        </w:rPr>
        <w:t>Anexo V.</w:t>
      </w:r>
    </w:p>
    <w:p>
      <w:pPr>
        <w:pStyle w:val="Normal1"/>
        <w:widowControl w:val="false"/>
        <w:tabs>
          <w:tab w:val="clear" w:pos="720"/>
          <w:tab w:val="left" w:pos="709"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12.14.2</w:t>
      </w:r>
      <w:r>
        <w:rPr>
          <w:rFonts w:eastAsia="Arial" w:cs="Arial" w:ascii="Arial" w:hAnsi="Arial"/>
          <w:color w:val="000000"/>
          <w:position w:val="0"/>
          <w:sz w:val="20"/>
          <w:sz w:val="20"/>
          <w:szCs w:val="20"/>
          <w:vertAlign w:val="baseline"/>
        </w:rPr>
        <w:t xml:space="preserve"> Caso os Profissionais indicados n</w:t>
      </w:r>
      <w:r>
        <w:rPr>
          <w:rFonts w:eastAsia="Arial" w:cs="Arial" w:ascii="Arial" w:hAnsi="Arial"/>
          <w:position w:val="0"/>
          <w:sz w:val="20"/>
          <w:sz w:val="20"/>
          <w:szCs w:val="20"/>
          <w:vertAlign w:val="baseline"/>
        </w:rPr>
        <w:t xml:space="preserve">o </w:t>
      </w:r>
      <w:r>
        <w:rPr>
          <w:rFonts w:eastAsia="Arial" w:cs="Arial" w:ascii="Arial" w:hAnsi="Arial"/>
          <w:color w:val="000000"/>
          <w:position w:val="0"/>
          <w:sz w:val="20"/>
          <w:sz w:val="20"/>
          <w:szCs w:val="20"/>
          <w:vertAlign w:val="baseline"/>
        </w:rPr>
        <w:t xml:space="preserve">Anexo V </w:t>
      </w:r>
      <w:r>
        <w:rPr>
          <w:rFonts w:eastAsia="Arial" w:cs="Arial" w:ascii="Arial" w:hAnsi="Arial"/>
          <w:position w:val="0"/>
          <w:sz w:val="20"/>
          <w:sz w:val="20"/>
          <w:szCs w:val="20"/>
          <w:vertAlign w:val="baseline"/>
        </w:rPr>
        <w:t>se</w:t>
      </w:r>
      <w:r>
        <w:rPr>
          <w:rFonts w:eastAsia="Arial" w:cs="Arial" w:ascii="Arial" w:hAnsi="Arial"/>
          <w:color w:val="000000"/>
          <w:position w:val="0"/>
          <w:sz w:val="20"/>
          <w:sz w:val="20"/>
          <w:szCs w:val="20"/>
          <w:vertAlign w:val="baseline"/>
        </w:rPr>
        <w:t>jam corresponsáveis, o contratado deverá providenciar as ARTs e/ou RRTs Complementares para os Profissionais, instituindo a corresponsabilidade técnica na execução dos serviços. As ARTs e/ou RRTs deverão corresponder às atividades que serão exercidas pelos profissionais, limitadas ao respectivo grau de responsabilidade.</w:t>
      </w:r>
    </w:p>
    <w:p>
      <w:pPr>
        <w:pStyle w:val="Normal1"/>
        <w:tabs>
          <w:tab w:val="clear" w:pos="720"/>
          <w:tab w:val="left" w:pos="2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12.15 </w:t>
      </w:r>
      <w:r>
        <w:rPr>
          <w:rFonts w:eastAsia="Arial" w:cs="Arial" w:ascii="Arial" w:hAnsi="Arial"/>
          <w:color w:val="000000"/>
          <w:position w:val="0"/>
          <w:sz w:val="20"/>
          <w:sz w:val="20"/>
          <w:szCs w:val="20"/>
          <w:vertAlign w:val="baseline"/>
        </w:rPr>
        <w:t>Os pagamentos ficarão condicionados à prévia informação pelo credor dos dados da conta-corrente junto à instituição financeira contratada pelo Estado, conforme o disposto no Decreto Estadual n.º 4.505, de 2016, ressalvadas as exceções previstas na mesma norma.</w:t>
      </w:r>
    </w:p>
    <w:p>
      <w:pPr>
        <w:pStyle w:val="Normal1"/>
        <w:tabs>
          <w:tab w:val="clear" w:pos="720"/>
          <w:tab w:val="left" w:pos="2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12.16 </w:t>
      </w:r>
      <w:r>
        <w:rPr>
          <w:rFonts w:eastAsia="Arial" w:cs="Arial" w:ascii="Arial" w:hAnsi="Arial"/>
          <w:color w:val="000000"/>
          <w:position w:val="0"/>
          <w:sz w:val="20"/>
          <w:sz w:val="20"/>
          <w:szCs w:val="20"/>
          <w:highlight w:val="white"/>
          <w:vertAlign w:val="baseline"/>
        </w:rPr>
        <w:t>A entrega, o recebimento do objeto da licitação e os pagamentos serão efetuados no local, nos prazos e na forma estabelecida nos anexos deste edital.</w:t>
      </w:r>
    </w:p>
    <w:p>
      <w:pPr>
        <w:pStyle w:val="Normal1"/>
        <w:tabs>
          <w:tab w:val="clear" w:pos="720"/>
          <w:tab w:val="left" w:pos="293"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12.17 </w:t>
      </w:r>
      <w:r>
        <w:rPr>
          <w:rFonts w:eastAsia="Arial" w:cs="Arial" w:ascii="Arial" w:hAnsi="Arial"/>
          <w:color w:val="000000"/>
          <w:position w:val="0"/>
          <w:sz w:val="20"/>
          <w:sz w:val="20"/>
          <w:szCs w:val="20"/>
          <w:highlight w:val="white"/>
          <w:vertAlign w:val="baseline"/>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pPr>
        <w:pStyle w:val="Normal1"/>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EM = I x N x VP, sendo:</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EM = Encargos moratórios;</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N = Número de dias entre a data prevista para o pagamento e a do efetivo pagamento;</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VP = Valor da parcela a ser paga.</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I = Índice de compensação financeira = 0,00016438, assim apurado:</w:t>
      </w:r>
    </w:p>
    <w:tbl>
      <w:tblPr>
        <w:tblStyle w:val="Table38"/>
        <w:tblW w:w="4609" w:type="dxa"/>
        <w:jc w:val="left"/>
        <w:tblInd w:w="-70" w:type="dxa"/>
        <w:tblLayout w:type="fixed"/>
        <w:tblCellMar>
          <w:top w:w="0" w:type="dxa"/>
          <w:left w:w="108" w:type="dxa"/>
          <w:bottom w:w="0" w:type="dxa"/>
          <w:right w:w="108" w:type="dxa"/>
        </w:tblCellMar>
        <w:tblLook w:val="0000"/>
      </w:tblPr>
      <w:tblGrid>
        <w:gridCol w:w="800"/>
        <w:gridCol w:w="1067"/>
        <w:gridCol w:w="2742"/>
      </w:tblGrid>
      <w:tr>
        <w:trPr>
          <w:trHeight w:val="859" w:hRule="atLeast"/>
        </w:trPr>
        <w:tc>
          <w:tcPr>
            <w:tcW w:w="800" w:type="dxa"/>
            <w:tcBorders/>
            <w:shd w:fill="auto" w:val="clear"/>
            <w:vAlign w:val="center"/>
          </w:tcPr>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I = (TX)</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c>
          <w:tcPr>
            <w:tcW w:w="1067" w:type="dxa"/>
            <w:tcBorders/>
            <w:shd w:fill="auto" w:val="clear"/>
            <w:vAlign w:val="center"/>
          </w:tcPr>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 xml:space="preserve">I = </w:t>
            </w:r>
            <w:r>
              <w:rPr>
                <w:rFonts w:eastAsia="Arial" w:cs="Arial" w:ascii="Arial" w:hAnsi="Arial"/>
                <w:color w:val="000000"/>
                <w:position w:val="0"/>
                <w:sz w:val="20"/>
                <w:sz w:val="20"/>
                <w:szCs w:val="20"/>
                <w:highlight w:val="white"/>
                <w:u w:val="single"/>
                <w:vertAlign w:val="baseline"/>
              </w:rPr>
              <w:t>(6/100)</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highlight w:val="white"/>
                <w:vertAlign w:val="baseline"/>
              </w:rPr>
              <w:t>365</w:t>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c>
          <w:tcPr>
            <w:tcW w:w="2742" w:type="dxa"/>
            <w:tcBorders/>
            <w:shd w:fill="auto" w:val="clear"/>
            <w:vAlign w:val="center"/>
          </w:tcPr>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t>I = 0,00016438</w:t>
            </w:r>
          </w:p>
          <w:p>
            <w:pPr>
              <w:pStyle w:val="Normal1"/>
              <w:tabs>
                <w:tab w:val="clear" w:pos="720"/>
                <w:tab w:val="left" w:pos="1710" w:leader="none"/>
              </w:tabs>
              <w:spacing w:lineRule="auto" w:line="240" w:before="57" w:after="57"/>
              <w:jc w:val="both"/>
              <w:rPr>
                <w:position w:val="0"/>
                <w:sz w:val="24"/>
                <w:sz w:val="24"/>
                <w:vertAlign w:val="baseline"/>
              </w:rPr>
            </w:pPr>
            <w:r>
              <w:rPr>
                <w:rFonts w:eastAsia="Arial" w:cs="Arial" w:ascii="Arial" w:hAnsi="Arial"/>
                <w:color w:val="000000"/>
                <w:position w:val="0"/>
                <w:sz w:val="20"/>
                <w:sz w:val="20"/>
                <w:szCs w:val="20"/>
                <w:highlight w:val="white"/>
                <w:vertAlign w:val="baseline"/>
              </w:rPr>
              <w:t>TX = Percentual da taxa anual = 6%.</w:t>
            </w:r>
          </w:p>
        </w:tc>
      </w:tr>
    </w:tbl>
    <w:p>
      <w:pPr>
        <w:pStyle w:val="Normal1"/>
        <w:spacing w:lineRule="auto" w:line="240" w:before="57" w:after="57"/>
        <w:jc w:val="both"/>
        <w:rPr>
          <w:rFonts w:ascii="Arial" w:hAnsi="Arial" w:eastAsia="Arial" w:cs="Arial"/>
          <w:b/>
          <w:i w:val="false"/>
          <w:i w:val="false"/>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12.18</w:t>
      </w:r>
      <w:r>
        <w:rPr>
          <w:rFonts w:eastAsia="Arial" w:cs="Arial" w:ascii="Arial" w:hAnsi="Arial"/>
          <w:color w:val="000000"/>
          <w:position w:val="0"/>
          <w:sz w:val="20"/>
          <w:sz w:val="20"/>
          <w:szCs w:val="20"/>
          <w:highlight w:val="white"/>
          <w:vertAlign w:val="baseline"/>
        </w:rPr>
        <w:t xml:space="preserve"> Antes de cada pagamento, o contratante deverá realizar consulta no Portal Nacional de Contratações Públicas e no Cadastro Unificado de Fornecedores do Estado do Paraná – CAUFPR para verificar a manutenção das condições de habilitação definidas neste edital.</w:t>
      </w:r>
    </w:p>
    <w:p>
      <w:pPr>
        <w:pStyle w:val="Heading2"/>
        <w:numPr>
          <w:ilvl w:val="1"/>
          <w:numId w:val="1"/>
        </w:numPr>
        <w:spacing w:lineRule="auto" w:line="240" w:before="57" w:after="57"/>
        <w:ind w:hanging="0" w:left="0" w:right="0"/>
        <w:rPr>
          <w:b/>
          <w:color w:val="000000"/>
          <w:position w:val="0"/>
          <w:sz w:val="20"/>
          <w:sz w:val="20"/>
          <w:szCs w:val="20"/>
          <w:vertAlign w:val="baseline"/>
        </w:rPr>
      </w:pPr>
      <w:r>
        <w:rPr>
          <w:rFonts w:eastAsia="Arial" w:cs="Arial" w:ascii="Arial" w:hAnsi="Arial"/>
          <w:b/>
          <w:i w:val="false"/>
          <w:color w:val="000000"/>
          <w:position w:val="0"/>
          <w:sz w:val="20"/>
          <w:sz w:val="20"/>
          <w:szCs w:val="20"/>
          <w:highlight w:val="white"/>
          <w:vertAlign w:val="baseline"/>
        </w:rPr>
        <w:t>13. SUBCONTRATAÇÃO</w:t>
      </w:r>
    </w:p>
    <w:tbl>
      <w:tblPr>
        <w:tblStyle w:val="Table39"/>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true"/>
              <w:keepLines w:val="false"/>
              <w:widowControl/>
              <w:shd w:val="clear" w:fill="FFFF00"/>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22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Dispõe a Lei Federal n.º 14.133, de 2021, em seu art.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que o contratado, na execução do contrato, sem prejuízo das responsabilidades contratuais e legais, poderá subcontratar partes da obra, do serviço ou do fornecimento até o limite autorizado, em cada caso, pela Administração. A subcontratação, desde que prevista no instrumento convocatório, possibilita que terceiro, que não participou do certame licitatório, realize parte do objeto.</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À Administração contratante cabe, exercitando a previsão do edital, autorizar a subcontratação mediante ato motivado, comprovando que atende às recomendações dos elementos técnicos instrutores e convém à consecução das finalidades do contrato. Caso admitida, cabe aos elementos técnicos instrutores estabelecer com detalhamentos seus limites e condições.</w:t>
            </w:r>
          </w:p>
          <w:p>
            <w:pPr>
              <w:pStyle w:val="Normal1"/>
              <w:keepNext w:val="true"/>
              <w:keepLines w:val="false"/>
              <w:widowControl/>
              <w:shd w:val="clear" w:fill="FFFF00"/>
              <w:spacing w:lineRule="auto" w:line="240" w:before="57" w:after="57"/>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setor competente deve, previamente, definir se será ou não admitida a subcontratação parcial do</w:t>
            </w:r>
            <w:bookmarkStart w:id="8" w:name="bookmark=id.4d34og8"/>
            <w:bookmarkEnd w:id="8"/>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objeto em função de suas peculiaridades.</w:t>
              <w:br/>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 admitida a subcontratação parcial do objeto, deve ser estipulado qual é o limite percentual e as condicionantes.</w:t>
            </w:r>
            <w:bookmarkStart w:id="9" w:name="bookmark=id.2s8eyo1"/>
            <w:bookmarkEnd w:id="9"/>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subcontratação depende de autorização prévia do contratante, a quem incumbe avaliar se o subcontratado cumpre os requisitos de habilitação e qualificação exigidas na licitação.</w:t>
            </w:r>
            <w:bookmarkStart w:id="10" w:name="bookmark=id.17dp8vu"/>
            <w:bookmarkEnd w:id="10"/>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Quando a subcontratação for admitida, é imprescindível que o subcontratado preencha os requisitos de qualificação referente à parcela subcontratada, nos limites da Lei.</w:t>
            </w:r>
            <w:bookmarkStart w:id="11" w:name="bookmark=id.3rdcrjn"/>
            <w:bookmarkEnd w:id="11"/>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c>
      </w:tr>
    </w:tbl>
    <w:p>
      <w:pPr>
        <w:pStyle w:val="Normal1"/>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b/>
          <w:position w:val="0"/>
          <w:sz w:val="20"/>
          <w:sz w:val="20"/>
          <w:szCs w:val="20"/>
          <w:vertAlign w:val="baseline"/>
        </w:rPr>
        <w:t xml:space="preserve">13.1 </w:t>
      </w:r>
      <w:r>
        <w:rPr>
          <w:rFonts w:eastAsia="Arial" w:cs="Arial" w:ascii="Arial" w:hAnsi="Arial"/>
          <w:b w:val="false"/>
          <w:position w:val="0"/>
          <w:sz w:val="20"/>
          <w:sz w:val="20"/>
          <w:szCs w:val="20"/>
          <w:vertAlign w:val="baseline"/>
        </w:rPr>
        <w:t>Não será admitida a subcontratação do objeto licitatório.</w:t>
      </w:r>
    </w:p>
    <w:p>
      <w:pPr>
        <w:pStyle w:val="Normal1"/>
        <w:tabs>
          <w:tab w:val="clear" w:pos="720"/>
          <w:tab w:val="left" w:pos="0" w:leader="none"/>
        </w:tabs>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tabs>
          <w:tab w:val="clear" w:pos="720"/>
          <w:tab w:val="left" w:pos="425"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OU</w:t>
      </w:r>
    </w:p>
    <w:p>
      <w:pPr>
        <w:pStyle w:val="Normal1"/>
        <w:tabs>
          <w:tab w:val="clear" w:pos="720"/>
          <w:tab w:val="left" w:pos="425"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425"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permitida a subcontratação parcial do objeto, nos limites definidos no termo contratual. </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13.1.1</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é vedada a subcontratação de microempresas e empresas de pequeno porte e microempreendedor individual que tenham participado da licitação;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subcontratação depende de autorização prévia do contratante, a quem incumbe avaliar se a subcontratada cumpre os requisitos de qualificação técnica necessários para a execução do objeto.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pPr>
        <w:pStyle w:val="Normal1"/>
        <w:shd w:val="clear" w:fill="FFFFFF"/>
        <w:spacing w:lineRule="auto" w:line="240" w:before="57" w:after="57"/>
        <w:jc w:val="both"/>
        <w:rPr>
          <w:rFonts w:ascii="Arial" w:hAnsi="Arial"/>
          <w:sz w:val="20"/>
          <w:szCs w:val="20"/>
        </w:rPr>
      </w:pPr>
      <w:r>
        <w:rPr>
          <w:rFonts w:eastAsia="Arial" w:cs="Arial" w:ascii="Arial" w:hAnsi="Arial"/>
          <w:b/>
          <w:bCs/>
          <w:i w:val="false"/>
          <w:caps w:val="false"/>
          <w:smallCaps w:val="false"/>
          <w:strike w:val="false"/>
          <w:dstrike w:val="false"/>
          <w:color w:val="000000"/>
          <w:position w:val="0"/>
          <w:sz w:val="20"/>
          <w:sz w:val="20"/>
          <w:szCs w:val="20"/>
          <w:vertAlign w:val="baseline"/>
        </w:rPr>
        <w:t>13.1.5</w:t>
      </w:r>
      <w:r>
        <w:rPr>
          <w:rFonts w:eastAsia="Arial" w:cs="Arial" w:ascii="Arial" w:hAnsi="Arial"/>
          <w:b w:val="false"/>
          <w:bCs w:val="false"/>
          <w:i w:val="false"/>
          <w:caps w:val="false"/>
          <w:smallCaps w:val="false"/>
          <w:strike w:val="false"/>
          <w:dstrike w:val="false"/>
          <w:color w:val="000000"/>
          <w:position w:val="0"/>
          <w:sz w:val="20"/>
          <w:sz w:val="20"/>
          <w:szCs w:val="20"/>
          <w:vertAlign w:val="baseline"/>
        </w:rPr>
        <w:t xml:space="preserve"> é vedada a subcontratação das parcelas de maior relevância e valor significativo, assim definidas no instrumento convocatório. </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40"/>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t>23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end"/>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subcontratação parcial é permitida e deverá ser analisada pela Administração com base nas informações contidas no estudo técnico preliminar, em cada caso concreto. Caso admitida, o edital deve estabelecer, com detalhamento, seus limites e condições, inclusive especificando quais parcelas do objeto poderão ser subcontratadas.</w:t>
            </w:r>
          </w:p>
          <w:p>
            <w:pPr>
              <w:pStyle w:val="Normal1"/>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É importante verificar que são vedadas (i) a subcontratação integral (ii) a exigência no instrumento convocatório de subcontratação de itens ou parcelas determinadas ou de empresas específicas;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(iii) a prova de capacidade técnica das subcontratadas em relação a parcelas do objeto que não são passíveis de qualificação técnica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(iv) a subcontratação de microempresas e empresas de pequeno porte que tenham participando da licitação; e (iv) a subcontratação de microempresas ou empresas de pequeno porte que tenham um ou mais sócios em comum com a empresa contratante.</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pacing w:lineRule="auto" w:line="240" w:before="57" w:after="57"/>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14 ALTERAÇÃO SUBJETIVA</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14.1 </w:t>
      </w:r>
      <w:r>
        <w:rPr>
          <w:rFonts w:eastAsia="Arial" w:cs="Arial" w:ascii="Arial" w:hAnsi="Arial"/>
          <w:color w:val="000000"/>
          <w:position w:val="0"/>
          <w:sz w:val="20"/>
          <w:sz w:val="20"/>
          <w:szCs w:val="20"/>
          <w:vertAlign w:val="baseline"/>
        </w:rPr>
        <w:t>É admissível a continuidade do Contrato administrativo quando houver fusão, cisão ou incorporação do Contratado com outra pessoa jurídica, desde que:</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a) sejam observados pela nova pessoa jurídica todos os requisitos de habilitação exigidos na licitação original;</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b) sejam mantidas as demais cláusulas e condições do Contrato; e</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color w:val="000000"/>
          <w:position w:val="0"/>
          <w:sz w:val="20"/>
          <w:sz w:val="20"/>
          <w:szCs w:val="20"/>
          <w:vertAlign w:val="baseline"/>
        </w:rPr>
        <w:t>c) não haja prejuízo à execução do objeto pactuado e haja anuência expressa da Administração à continuidade do Contrato.</w:t>
      </w:r>
    </w:p>
    <w:p>
      <w:pPr>
        <w:pStyle w:val="Normal1"/>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14</w:t>
      </w:r>
      <w:r>
        <w:rPr>
          <w:rFonts w:eastAsia="Arial" w:cs="Arial" w:ascii="Arial" w:hAnsi="Arial"/>
          <w:b/>
          <w:position w:val="0"/>
          <w:sz w:val="20"/>
          <w:sz w:val="20"/>
          <w:szCs w:val="20"/>
          <w:vertAlign w:val="baseline"/>
        </w:rPr>
        <w:t xml:space="preserve">.2 </w:t>
      </w:r>
      <w:r>
        <w:rPr>
          <w:rFonts w:eastAsia="Arial" w:cs="Arial" w:ascii="Arial" w:hAnsi="Arial"/>
          <w:position w:val="0"/>
          <w:sz w:val="20"/>
          <w:sz w:val="20"/>
          <w:szCs w:val="20"/>
          <w:vertAlign w:val="baseline"/>
        </w:rPr>
        <w:t xml:space="preserve">A alteração subjetiva a que se refere o item </w:t>
      </w:r>
      <w:r>
        <w:rPr>
          <w:rFonts w:eastAsia="Arial" w:cs="Arial" w:ascii="Arial" w:hAnsi="Arial"/>
          <w:color w:val="000000"/>
          <w:position w:val="0"/>
          <w:sz w:val="20"/>
          <w:sz w:val="20"/>
          <w:szCs w:val="20"/>
          <w:vertAlign w:val="baseline"/>
        </w:rPr>
        <w:t>14</w:t>
      </w:r>
      <w:r>
        <w:rPr>
          <w:rFonts w:eastAsia="Arial" w:cs="Arial" w:ascii="Arial" w:hAnsi="Arial"/>
          <w:position w:val="0"/>
          <w:sz w:val="20"/>
          <w:sz w:val="20"/>
          <w:szCs w:val="20"/>
          <w:vertAlign w:val="baseline"/>
        </w:rPr>
        <w:t>.1 deverá ser formalizada por Termo Aditivo ao Contrato.</w:t>
      </w:r>
    </w:p>
    <w:p>
      <w:pPr>
        <w:pStyle w:val="Normal1"/>
        <w:spacing w:lineRule="auto" w:line="240" w:before="57" w:after="57"/>
        <w:ind w:hanging="0" w:left="9" w:right="-55"/>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 SANÇÕES ADMINISTRATIVAS</w:t>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15.1 </w:t>
      </w:r>
      <w:r>
        <w:rPr>
          <w:rFonts w:eastAsia="Arial" w:cs="Arial" w:ascii="Arial" w:hAnsi="Arial"/>
          <w:color w:val="000000"/>
          <w:position w:val="0"/>
          <w:sz w:val="20"/>
          <w:sz w:val="20"/>
          <w:szCs w:val="20"/>
          <w:highlight w:val="white"/>
          <w:vertAlign w:val="baseline"/>
        </w:rPr>
        <w:t>O licitante e o contratado que incorram em infrações sujeitam-se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2 </w:t>
      </w:r>
      <w:r>
        <w:rPr>
          <w:rFonts w:eastAsia="Arial" w:cs="Arial" w:ascii="Arial" w:hAnsi="Arial"/>
          <w:color w:val="000000"/>
          <w:position w:val="0"/>
          <w:sz w:val="20"/>
          <w:sz w:val="20"/>
          <w:szCs w:val="20"/>
          <w:vertAlign w:val="baseline"/>
        </w:rPr>
        <w:t>A multa de 0,5% (cinco décimos por cento) até 30% (trinta por cento) sobre o valor total do lote no qual participou, será aplicada a quem:</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a) retardar ou impedir o andamento do procedimento licitatório;</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b) não mantiver sua proposta;</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c) apresentar declaração falsa;</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d) deixar de apresentar documento na fase de saneamento.</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e) apresentar documento falso;</w:t>
      </w:r>
    </w:p>
    <w:p>
      <w:pPr>
        <w:pStyle w:val="Normal1"/>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f) de forma injustificada, deixar de assinar o contrato ou instrumento equivalente;</w:t>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color w:val="000000"/>
          <w:position w:val="0"/>
          <w:sz w:val="20"/>
          <w:sz w:val="20"/>
          <w:szCs w:val="20"/>
          <w:vertAlign w:val="baseline"/>
        </w:rPr>
        <w:t>g) foi advertido e reincidiu pelo(s) mesmo(s) motivo(s).</w:t>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.3</w:t>
      </w:r>
      <w:r>
        <w:rPr>
          <w:rFonts w:eastAsia="Arial" w:cs="Arial" w:ascii="Arial" w:hAnsi="Arial"/>
          <w:color w:val="000000"/>
          <w:position w:val="0"/>
          <w:sz w:val="20"/>
          <w:sz w:val="20"/>
          <w:szCs w:val="20"/>
          <w:vertAlign w:val="baseline"/>
        </w:rPr>
        <w:t xml:space="preserve"> O procedimento para aplicação das sanções seguirá o disposto no Capítulo XVI, do Título I, do Decreto n.º 10.086, de 2022.</w:t>
      </w:r>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.4 </w:t>
      </w:r>
      <w:r>
        <w:rPr>
          <w:rFonts w:eastAsia="Arial" w:cs="Arial" w:ascii="Arial" w:hAnsi="Arial"/>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.5 </w:t>
      </w:r>
      <w:r>
        <w:rPr>
          <w:rFonts w:eastAsia="Arial" w:cs="Arial" w:ascii="Arial" w:hAnsi="Arial"/>
          <w:color w:val="000000"/>
          <w:position w:val="0"/>
          <w:sz w:val="20"/>
          <w:sz w:val="20"/>
          <w:szCs w:val="20"/>
          <w:vertAlign w:val="baseline"/>
        </w:rPr>
        <w:t>Sem prejuízo das sanções previstas nos itens anteriores, a</w:t>
      </w:r>
      <w:r>
        <w:rPr>
          <w:rFonts w:eastAsia="Arial" w:cs="Arial" w:ascii="Arial" w:hAnsi="Arial"/>
          <w:b/>
          <w:color w:val="000000"/>
          <w:position w:val="0"/>
          <w:sz w:val="20"/>
          <w:sz w:val="20"/>
          <w:szCs w:val="20"/>
          <w:vertAlign w:val="baseline"/>
        </w:rPr>
        <w:t xml:space="preserve"> </w:t>
      </w:r>
      <w:r>
        <w:rPr>
          <w:rFonts w:eastAsia="Arial" w:cs="Arial" w:ascii="Arial" w:hAnsi="Arial"/>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regulamentada, no âmbito do Estado do Paraná, pelo Decreto n.º 11.953, de 2018.</w:t>
      </w:r>
    </w:p>
    <w:p>
      <w:pPr>
        <w:pStyle w:val="Normal1"/>
        <w:tabs>
          <w:tab w:val="clear" w:pos="720"/>
          <w:tab w:val="left" w:pos="558" w:leader="none"/>
        </w:tabs>
        <w:spacing w:lineRule="auto" w:line="240" w:before="57" w:after="57"/>
        <w:jc w:val="both"/>
        <w:rPr>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.6 </w:t>
      </w:r>
      <w:r>
        <w:rPr>
          <w:rFonts w:eastAsia="Arial" w:cs="Arial" w:ascii="Arial" w:hAnsi="Arial"/>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1"/>
        <w:keepNext w:val="true"/>
        <w:keepLines w:val="false"/>
        <w:pageBreakBefore w:val="false"/>
        <w:widowControl/>
        <w:shd w:val="clear" w:fill="FFFFFF"/>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15.7.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contrato.</w:t>
      </w:r>
    </w:p>
    <w:p>
      <w:pPr>
        <w:pStyle w:val="Normal1"/>
        <w:keepNext w:val="true"/>
        <w:keepLines w:val="false"/>
        <w:pageBreakBefore w:val="false"/>
        <w:widowControl/>
        <w:shd w:val="clear" w:fill="FFFFFF"/>
        <w:tabs>
          <w:tab w:val="clear" w:pos="720"/>
          <w:tab w:val="left" w:pos="558" w:leader="none"/>
        </w:tabs>
        <w:spacing w:lineRule="auto" w:line="240" w:before="57"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15.7.1.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15.8</w:t>
      </w:r>
      <w:r>
        <w:rPr>
          <w:rFonts w:eastAsia="Arial" w:cs="Arial" w:ascii="Arial" w:hAnsi="Arial"/>
          <w:color w:val="000000"/>
          <w:position w:val="0"/>
          <w:sz w:val="20"/>
          <w:sz w:val="20"/>
          <w:szCs w:val="20"/>
          <w:highlight w:val="white"/>
          <w:vertAlign w:val="baseline"/>
        </w:rPr>
        <w:t xml:space="preserve"> Multa de mora diária de até 0,3% (três décimos por cento), calculada sobre o valor global do contrato ou da parcela em at</w:t>
      </w:r>
      <w:r>
        <w:rPr>
          <w:rFonts w:eastAsia="Arial" w:cs="Arial" w:ascii="Arial" w:hAnsi="Arial"/>
          <w:color w:val="000000"/>
          <w:position w:val="0"/>
          <w:sz w:val="20"/>
          <w:sz w:val="20"/>
          <w:szCs w:val="20"/>
          <w:vertAlign w:val="baseline"/>
        </w:rPr>
        <w:t>raso, até o 30º (trigésimo) dia de atraso na entrega; a partir do 31º (trigésimo primeiro) dia, a multa de mora será convertida em compensatória, aplicando-se, no mais, o disposto nos itens acima.</w:t>
      </w:r>
    </w:p>
    <w:p>
      <w:pPr>
        <w:pStyle w:val="Normal1"/>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.9 </w:t>
      </w:r>
      <w:r>
        <w:rPr>
          <w:rFonts w:eastAsia="Arial" w:cs="Arial" w:ascii="Arial" w:hAnsi="Arial"/>
          <w:color w:val="000000"/>
          <w:position w:val="0"/>
          <w:sz w:val="20"/>
          <w:sz w:val="20"/>
          <w:szCs w:val="20"/>
          <w:vertAlign w:val="baseline"/>
        </w:rPr>
        <w:t>O procedimento para aplicação das sanções seguirá o disposto no Capítulo XVI, do Título I, do Decreto n.º 10.086, de 2022. e na Lei n.º 20.656, de 2021.</w:t>
      </w:r>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.10 </w:t>
      </w:r>
      <w:r>
        <w:rPr>
          <w:rFonts w:eastAsia="Arial" w:cs="Arial" w:ascii="Arial" w:hAnsi="Arial"/>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.11 </w:t>
      </w:r>
      <w:r>
        <w:rPr>
          <w:rFonts w:eastAsia="Arial" w:cs="Arial" w:ascii="Arial" w:hAnsi="Arial"/>
          <w:color w:val="000000"/>
          <w:position w:val="0"/>
          <w:sz w:val="20"/>
          <w:sz w:val="20"/>
          <w:szCs w:val="20"/>
          <w:vertAlign w:val="baseline"/>
        </w:rPr>
        <w:t>Sem prejuízo das sanções previstas nos itens anteriores, a</w:t>
      </w:r>
      <w:r>
        <w:rPr>
          <w:rFonts w:eastAsia="Arial" w:cs="Arial" w:ascii="Arial" w:hAnsi="Arial"/>
          <w:b/>
          <w:color w:val="000000"/>
          <w:position w:val="0"/>
          <w:sz w:val="20"/>
          <w:sz w:val="20"/>
          <w:szCs w:val="20"/>
          <w:vertAlign w:val="baseline"/>
        </w:rPr>
        <w:t xml:space="preserve"> </w:t>
      </w:r>
      <w:r>
        <w:rPr>
          <w:rFonts w:eastAsia="Arial" w:cs="Arial" w:ascii="Arial" w:hAnsi="Arial"/>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pPr>
        <w:pStyle w:val="Normal1"/>
        <w:tabs>
          <w:tab w:val="clear" w:pos="720"/>
          <w:tab w:val="left" w:pos="558"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15</w:t>
      </w:r>
      <w:r>
        <w:rPr>
          <w:rFonts w:eastAsia="Arial" w:cs="Arial" w:ascii="Arial" w:hAnsi="Arial"/>
          <w:b/>
          <w:color w:val="000000"/>
          <w:position w:val="0"/>
          <w:sz w:val="20"/>
          <w:sz w:val="20"/>
          <w:szCs w:val="20"/>
          <w:vertAlign w:val="baseline"/>
        </w:rPr>
        <w:t xml:space="preserve">.12 </w:t>
      </w:r>
      <w:r>
        <w:rPr>
          <w:rFonts w:eastAsia="Arial" w:cs="Arial" w:ascii="Arial" w:hAnsi="Arial"/>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1"/>
        <w:tabs>
          <w:tab w:val="clear" w:pos="720"/>
          <w:tab w:val="left" w:pos="558" w:leader="none"/>
        </w:tabs>
        <w:spacing w:lineRule="auto" w:line="240" w:before="57" w:after="57"/>
        <w:jc w:val="both"/>
        <w:rPr>
          <w:rFonts w:ascii="Arial" w:hAnsi="Arial" w:eastAsia="Arial" w:cs="Arial"/>
          <w:position w:val="0"/>
          <w:sz w:val="24"/>
          <w:sz w:val="24"/>
          <w:vertAlign w:val="baseline"/>
        </w:rPr>
      </w:pPr>
      <w:r>
        <w:rPr>
          <w:rFonts w:eastAsia="Arial" w:cs="Arial" w:ascii="Arial" w:hAnsi="Arial"/>
          <w:b/>
          <w:color w:val="000000"/>
          <w:position w:val="0"/>
          <w:sz w:val="20"/>
          <w:sz w:val="20"/>
          <w:szCs w:val="20"/>
          <w:highlight w:val="white"/>
          <w:vertAlign w:val="baseline"/>
        </w:rPr>
        <w:t>15.13</w:t>
      </w:r>
      <w:r>
        <w:rPr>
          <w:rFonts w:eastAsia="Arial" w:cs="Arial" w:ascii="Arial" w:hAnsi="Arial"/>
          <w:color w:val="000000"/>
          <w:position w:val="0"/>
          <w:sz w:val="20"/>
          <w:sz w:val="20"/>
          <w:szCs w:val="20"/>
          <w:highlight w:val="white"/>
          <w:vertAlign w:val="baseline"/>
        </w:rPr>
        <w:t xml:space="preserve"> As multas previstas neste edital poderão ser descontadas do pagamento eventualmente devido pelo contratante decorrente de outros contratos firmados com a Administração Pública estadual.</w:t>
      </w:r>
    </w:p>
    <w:p>
      <w:pPr>
        <w:pStyle w:val="Normal1"/>
        <w:tabs>
          <w:tab w:val="clear" w:pos="720"/>
          <w:tab w:val="left" w:pos="558" w:leader="none"/>
        </w:tabs>
        <w:spacing w:lineRule="auto" w:line="240" w:before="57" w:after="57"/>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16 </w:t>
      </w:r>
      <w:r>
        <w:rPr>
          <w:rFonts w:eastAsia="Arial" w:cs="Arial" w:ascii="Arial" w:hAnsi="Arial"/>
          <w:b/>
          <w:color w:val="000000"/>
          <w:position w:val="0"/>
          <w:sz w:val="20"/>
          <w:sz w:val="20"/>
          <w:szCs w:val="20"/>
          <w:vertAlign w:val="baseline"/>
        </w:rPr>
        <w:t>DISPOSIÇÕES GERAIS</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16.1 </w:t>
      </w:r>
      <w:r>
        <w:rPr>
          <w:rFonts w:eastAsia="Arial" w:cs="Arial" w:ascii="Arial" w:hAnsi="Arial"/>
          <w:color w:val="000000"/>
          <w:position w:val="0"/>
          <w:sz w:val="20"/>
          <w:sz w:val="20"/>
          <w:szCs w:val="20"/>
          <w:vertAlign w:val="baseline"/>
        </w:rPr>
        <w:t>Todas as referências de tempo deste edital correspondem ao horário de Brasília-DF.</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16.2 </w:t>
      </w:r>
      <w:r>
        <w:rPr>
          <w:rFonts w:eastAsia="Arial" w:cs="Arial" w:ascii="Arial" w:hAnsi="Arial"/>
          <w:color w:val="000000"/>
          <w:position w:val="0"/>
          <w:sz w:val="20"/>
          <w:sz w:val="20"/>
          <w:szCs w:val="20"/>
          <w:vertAlign w:val="baseline"/>
        </w:rPr>
        <w:t>Ocorrendo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16.3 </w:t>
      </w:r>
      <w:r>
        <w:rPr>
          <w:rFonts w:eastAsia="Arial" w:cs="Arial" w:ascii="Arial" w:hAnsi="Arial"/>
          <w:color w:val="000000"/>
          <w:position w:val="0"/>
          <w:sz w:val="20"/>
          <w:sz w:val="20"/>
          <w:szCs w:val="20"/>
          <w:vertAlign w:val="baseline"/>
        </w:rPr>
        <w:t>É facultado ao(a) pregoeiro(a) a promoção de diligência destinada a esclarecer ou a complementar a instrução do processo.</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16.4 </w:t>
      </w:r>
      <w:r>
        <w:rPr>
          <w:rFonts w:eastAsia="Arial" w:cs="Arial" w:ascii="Arial" w:hAnsi="Arial"/>
          <w:color w:val="000000"/>
          <w:position w:val="0"/>
          <w:sz w:val="20"/>
          <w:sz w:val="20"/>
          <w:szCs w:val="20"/>
          <w:vertAlign w:val="baseline"/>
        </w:rPr>
        <w:t>O licitante é responsável pelo ônus decorrente da perda de negócios, resultante da inobservância de quaisquer mensagens emitidas pelo(a) pregoeiro(a) ou pelo sistema, ainda que ocorra a sua desconexão.</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16.5 </w:t>
      </w:r>
      <w:r>
        <w:rPr>
          <w:rFonts w:eastAsia="Arial" w:cs="Arial" w:ascii="Arial" w:hAnsi="Arial"/>
          <w:color w:val="000000"/>
          <w:position w:val="0"/>
          <w:sz w:val="20"/>
          <w:sz w:val="20"/>
          <w:szCs w:val="20"/>
          <w:vertAlign w:val="baseline"/>
        </w:rPr>
        <w:t>A não apresentação de qualquer documento ou a apresentação com prazo de validade expirado implicará desclassificação ou inabilitação do licitante.</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16.6 </w:t>
      </w:r>
      <w:r>
        <w:rPr>
          <w:rFonts w:eastAsia="Arial" w:cs="Arial" w:ascii="Arial" w:hAnsi="Arial"/>
          <w:color w:val="000000"/>
          <w:position w:val="0"/>
          <w:sz w:val="20"/>
          <w:sz w:val="20"/>
          <w:szCs w:val="20"/>
          <w:vertAlign w:val="baseline"/>
        </w:rPr>
        <w:t>Os documentos que não mencionarem o prazo de validade serão considerados válidos por 90 (noventa) dias da data da emissão, salvo disposição contrária de Lei a respeito.</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16.7 </w:t>
      </w:r>
      <w:r>
        <w:rPr>
          <w:rFonts w:eastAsia="Arial" w:cs="Arial" w:ascii="Arial" w:hAnsi="Arial"/>
          <w:color w:val="000000"/>
          <w:position w:val="0"/>
          <w:sz w:val="20"/>
          <w:sz w:val="20"/>
          <w:szCs w:val="20"/>
          <w:vertAlign w:val="baseline"/>
        </w:rPr>
        <w:t>Os licitantes encaminharão os documentos exigidos nesta licitação exclusivamente por meio do sistema de que trata o item 4 das Condições Gerais do Pregão. O(a) pregoeiro(a), se julgar necessário, verificará a autenticidade e a veracidade do documento.</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16.8 </w:t>
      </w:r>
      <w:r>
        <w:rPr>
          <w:rFonts w:eastAsia="Arial" w:cs="Arial" w:ascii="Arial" w:hAnsi="Arial"/>
          <w:color w:val="000000"/>
          <w:position w:val="0"/>
          <w:sz w:val="20"/>
          <w:sz w:val="20"/>
          <w:szCs w:val="20"/>
          <w:vertAlign w:val="baseline"/>
        </w:rPr>
        <w:t>O(a) pregoeiro(a) poderá, no interesse público, relevar faltas meramente formais que não comprometam a lisura e o real conteúdo da proposta, podendo promover diligências destinadas a esclarecer ou complementar a instrução do procedimento licitatório, inclusive solicitar pareceres.</w:t>
      </w:r>
    </w:p>
    <w:p>
      <w:pPr>
        <w:pStyle w:val="Normal1"/>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16.9 </w:t>
      </w:r>
      <w:r>
        <w:rPr>
          <w:rFonts w:eastAsia="Arial" w:cs="Arial" w:ascii="Arial" w:hAnsi="Arial"/>
          <w:color w:val="000000"/>
          <w:position w:val="0"/>
          <w:sz w:val="20"/>
          <w:sz w:val="20"/>
          <w:szCs w:val="20"/>
          <w:vertAlign w:val="baseline"/>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pPr>
        <w:pStyle w:val="Normal1"/>
        <w:tabs>
          <w:tab w:val="clear" w:pos="720"/>
          <w:tab w:val="left" w:pos="293" w:leader="none"/>
        </w:tabs>
        <w:spacing w:lineRule="auto" w:line="240" w:before="57" w:after="57"/>
        <w:jc w:val="both"/>
        <w:rPr>
          <w:rFonts w:ascii="Arial" w:hAnsi="Arial" w:eastAsia="Arial" w:cs="Arial"/>
          <w:position w:val="0"/>
          <w:sz w:val="24"/>
          <w:sz w:val="24"/>
          <w:vertAlign w:val="baseline"/>
        </w:rPr>
      </w:pPr>
      <w:r>
        <w:rPr>
          <w:rFonts w:eastAsia="Arial" w:cs="Arial" w:ascii="Arial" w:hAnsi="Arial"/>
          <w:b/>
          <w:color w:val="000000"/>
          <w:position w:val="0"/>
          <w:sz w:val="20"/>
          <w:sz w:val="20"/>
          <w:szCs w:val="20"/>
          <w:vertAlign w:val="baseline"/>
        </w:rPr>
        <w:t xml:space="preserve">16.10 </w:t>
      </w:r>
      <w:r>
        <w:rPr>
          <w:rFonts w:eastAsia="Arial" w:cs="Arial" w:ascii="Arial" w:hAnsi="Arial"/>
          <w:color w:val="000000"/>
          <w:position w:val="0"/>
          <w:sz w:val="20"/>
          <w:sz w:val="20"/>
          <w:szCs w:val="20"/>
          <w:vertAlign w:val="baseline"/>
        </w:rPr>
        <w:t>O foro é o da Comarca da Região Metropolitana de Curitiba – Foro Central de Curitiba, no qual serão dirimidas todas as questões não resolvidas na esfera administrativa.</w:t>
      </w:r>
    </w:p>
    <w:p>
      <w:pPr>
        <w:pStyle w:val="Normal1"/>
        <w:spacing w:lineRule="auto" w:line="240" w:before="57" w:after="57"/>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pacing w:lineRule="auto" w:line="240" w:before="57" w:after="57"/>
        <w:jc w:val="center"/>
        <w:rPr>
          <w:rFonts w:ascii="Arial" w:hAnsi="Arial" w:eastAsia="Arial" w:cs="Arial"/>
          <w:position w:val="0"/>
          <w:sz w:val="24"/>
          <w:sz w:val="24"/>
          <w:vertAlign w:val="baseline"/>
        </w:rPr>
      </w:pPr>
      <w:r>
        <w:rPr>
          <w:rFonts w:eastAsia="Arial" w:cs="Arial" w:ascii="Arial" w:hAnsi="Arial"/>
          <w:color w:val="000000"/>
          <w:position w:val="0"/>
          <w:sz w:val="20"/>
          <w:sz w:val="20"/>
          <w:szCs w:val="20"/>
          <w:vertAlign w:val="baseline"/>
        </w:rPr>
        <w:t>O servidor que subscreve este edital e seus anexos atesta que observou integralmente a Minuta Padronizada aprovada pelo Procurador-Geral do Estado do Paraná.</w:t>
      </w:r>
    </w:p>
    <w:p>
      <w:pPr>
        <w:pStyle w:val="Normal1"/>
        <w:spacing w:lineRule="auto" w:line="240" w:before="57" w:after="57"/>
        <w:jc w:val="center"/>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color w:val="000000"/>
          <w:position w:val="0"/>
          <w:sz w:val="20"/>
          <w:sz w:val="20"/>
          <w:szCs w:val="20"/>
          <w:vertAlign w:val="baseline"/>
        </w:rPr>
        <w:t>Curitiba, XX de XXXXXX de 20XX.</w:t>
      </w:r>
    </w:p>
    <w:p>
      <w:pPr>
        <w:pStyle w:val="Normal1"/>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1"/>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1"/>
        <w:spacing w:lineRule="auto" w:line="240" w:before="57" w:after="57"/>
        <w:jc w:val="center"/>
        <w:rPr>
          <w:rFonts w:ascii="Arial" w:hAnsi="Arial" w:eastAsia="Arial" w:cs="Arial"/>
          <w:color w:val="000000"/>
          <w:position w:val="0"/>
          <w:sz w:val="20"/>
          <w:sz w:val="20"/>
          <w:szCs w:val="20"/>
          <w:highlight w:val="yellow"/>
          <w:vertAlign w:val="baseline"/>
        </w:rPr>
      </w:pPr>
      <w:r>
        <w:rPr>
          <w:rFonts w:eastAsia="Arial" w:cs="Arial" w:ascii="Arial" w:hAnsi="Arial"/>
          <w:b/>
          <w:color w:val="000000"/>
          <w:position w:val="0"/>
          <w:sz w:val="20"/>
          <w:sz w:val="20"/>
          <w:szCs w:val="20"/>
          <w:highlight w:val="yellow"/>
          <w:vertAlign w:val="baseline"/>
        </w:rPr>
        <w:t>XXXXXXXXXXX</w:t>
      </w:r>
    </w:p>
    <w:p>
      <w:pPr>
        <w:pStyle w:val="Normal1"/>
        <w:spacing w:lineRule="auto" w:line="240" w:before="57" w:after="57"/>
        <w:jc w:val="center"/>
        <w:rPr>
          <w:rFonts w:ascii="Arial" w:hAnsi="Arial" w:eastAsia="Arial" w:cs="Arial"/>
          <w:position w:val="0"/>
          <w:sz w:val="24"/>
          <w:sz w:val="24"/>
          <w:highlight w:val="darkYellow"/>
          <w:vertAlign w:val="baseline"/>
        </w:rPr>
      </w:pPr>
      <w:r>
        <w:rPr>
          <w:rFonts w:eastAsia="Arial" w:cs="Arial" w:ascii="Arial" w:hAnsi="Arial"/>
          <w:color w:val="000000"/>
          <w:position w:val="0"/>
          <w:sz w:val="20"/>
          <w:sz w:val="20"/>
          <w:szCs w:val="20"/>
          <w:highlight w:val="yellow"/>
          <w:vertAlign w:val="baseline"/>
        </w:rPr>
        <w:t>SERVIDOR(A) ÓRGÃO/ENTIDADE / SETOR</w:t>
      </w:r>
    </w:p>
    <w:p>
      <w:pPr>
        <w:pStyle w:val="Normal1"/>
        <w:spacing w:lineRule="auto" w:line="240" w:before="57" w:after="57"/>
        <w:ind w:hanging="0" w:left="9" w:right="-55"/>
        <w:jc w:val="both"/>
        <w:rPr>
          <w:rFonts w:ascii="Arial" w:hAnsi="Arial" w:eastAsia="Arial" w:cs="Arial"/>
          <w:position w:val="0"/>
          <w:sz w:val="24"/>
          <w:sz w:val="24"/>
          <w:highlight w:val="darkYellow"/>
          <w:vertAlign w:val="baseline"/>
        </w:rPr>
      </w:pPr>
      <w:r>
        <w:rPr>
          <w:rFonts w:eastAsia="Arial" w:cs="Arial" w:ascii="Arial" w:hAnsi="Arial"/>
          <w:position w:val="0"/>
          <w:sz w:val="24"/>
          <w:sz w:val="24"/>
          <w:highlight w:val="darkYellow"/>
          <w:vertAlign w:val="baseline"/>
        </w:rPr>
      </w:r>
      <w:r>
        <w:br w:type="page"/>
      </w:r>
    </w:p>
    <w:p>
      <w:pPr>
        <w:pStyle w:val="Normal1"/>
        <w:widowControl w:val="false"/>
        <w:tabs>
          <w:tab w:val="clear" w:pos="720"/>
          <w:tab w:val="left" w:pos="0" w:leader="none"/>
        </w:tabs>
        <w:spacing w:lineRule="auto" w:line="240" w:before="0" w:after="0"/>
        <w:jc w:val="center"/>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ANEXO I</w:t>
      </w:r>
    </w:p>
    <w:p>
      <w:pPr>
        <w:pStyle w:val="Normal1"/>
        <w:widowControl w:val="false"/>
        <w:tabs>
          <w:tab w:val="clear" w:pos="720"/>
          <w:tab w:val="left" w:pos="0" w:leader="none"/>
        </w:tabs>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shd w:val="clear" w:fill="auto"/>
        <w:tabs>
          <w:tab w:val="clear" w:pos="720"/>
          <w:tab w:val="left" w:pos="1029" w:leader="none"/>
          <w:tab w:val="center" w:pos="4288" w:leader="none"/>
          <w:tab w:val="right" w:pos="8540" w:leader="none"/>
        </w:tabs>
        <w:spacing w:lineRule="auto" w:line="240" w:before="0" w:after="0"/>
        <w:ind w:hanging="0" w:left="18"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MINUTA PADRÃO – CONTRATO DE SERVIÇOS DE ENGENHARIA</w:t>
      </w:r>
    </w:p>
    <w:p>
      <w:pPr>
        <w:pStyle w:val="Normal1"/>
        <w:keepNext w:val="false"/>
        <w:keepLines w:val="false"/>
        <w:pageBreakBefore w:val="false"/>
        <w:widowControl/>
        <w:shd w:val="clear" w:fill="auto"/>
        <w:tabs>
          <w:tab w:val="clear" w:pos="720"/>
          <w:tab w:val="left" w:pos="1029" w:leader="none"/>
          <w:tab w:val="center" w:pos="4288" w:leader="none"/>
          <w:tab w:val="right" w:pos="8540" w:leader="none"/>
        </w:tabs>
        <w:spacing w:lineRule="auto" w:line="240" w:before="0" w:after="0"/>
        <w:ind w:hanging="0" w:left="18"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1"/>
        <w:keepNext w:val="true"/>
        <w:keepLines w:val="false"/>
        <w:pageBreakBefore w:val="false"/>
        <w:widowControl/>
        <w:shd w:val="clear" w:fill="FFFFFF"/>
        <w:spacing w:lineRule="auto" w:line="240" w:before="57" w:after="57"/>
        <w:ind w:hanging="0" w:left="2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CONTRATO ADMINISTRATIVO N°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XXXXXXXX]</w:t>
      </w:r>
    </w:p>
    <w:p>
      <w:pPr>
        <w:pStyle w:val="Normal1"/>
        <w:keepNext w:val="true"/>
        <w:keepLines w:val="false"/>
        <w:pageBreakBefore w:val="false"/>
        <w:widowControl/>
        <w:shd w:val="clear" w:fill="FFFFFF"/>
        <w:spacing w:lineRule="auto" w:line="240" w:before="57" w:after="57"/>
        <w:ind w:hanging="0" w:left="2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keepNext w:val="true"/>
        <w:keepLines w:val="false"/>
        <w:pageBreakBefore w:val="false"/>
        <w:widowControl/>
        <w:shd w:val="clear" w:fill="FFFFFF"/>
        <w:spacing w:lineRule="auto" w:line="240" w:before="57" w:after="57"/>
        <w:ind w:hanging="0" w:left="27"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CONTRATANTE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 ESTADO DO PARANÁ, por intermpedio do órgão XXXXXXXX] ou [A ENTIDADE PÚBLICA</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inscrito(a) no CNPJ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neste ato representado(a) pelo(a)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CARGO E NOME DA AUTORIDADE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nomeado pelo Decreto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true"/>
        <w:keepLines w:val="false"/>
        <w:pageBreakBefore w:val="false"/>
        <w:widowControl/>
        <w:shd w:val="clear" w:fill="FFFFFF"/>
        <w:spacing w:lineRule="auto" w:line="240" w:before="57" w:after="57"/>
        <w:ind w:hanging="0" w:left="27"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true"/>
        <w:keepLines w:val="false"/>
        <w:pageBreakBefore w:val="false"/>
        <w:widowControl w:val="false"/>
        <w:shd w:val="clear" w:fill="FFFFFF"/>
        <w:tabs>
          <w:tab w:val="clear" w:pos="720"/>
          <w:tab w:val="left" w:pos="27" w:leader="none"/>
        </w:tabs>
        <w:spacing w:lineRule="auto" w:line="240" w:before="57" w:after="57"/>
        <w:ind w:hanging="0" w:left="2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CONTRATADO(A)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inscrito no CNPJ/CPF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neste ato representado por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 E QUALIFICAÇÃO</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residente e domiciliado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e-mail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telefone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widowControl w:val="false"/>
        <w:tabs>
          <w:tab w:val="clear" w:pos="720"/>
          <w:tab w:val="left" w:pos="0"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position w:val="0"/>
          <w:sz w:val="20"/>
          <w:sz w:val="20"/>
          <w:szCs w:val="20"/>
          <w:vertAlign w:val="baseline"/>
        </w:rPr>
        <w:t>O pr</w:t>
      </w:r>
      <w:r>
        <w:rPr>
          <w:rFonts w:eastAsia="Arial" w:cs="Arial" w:ascii="Arial" w:hAnsi="Arial"/>
          <w:color w:val="000000"/>
          <w:position w:val="0"/>
          <w:sz w:val="20"/>
          <w:sz w:val="20"/>
          <w:szCs w:val="20"/>
          <w:vertAlign w:val="baseline"/>
        </w:rPr>
        <w:t xml:space="preserve">esente Contrato será regido pela Lei Federal n.º 14.133, de 1º de abril de 2021, pelo Decreto n.º 10.086, de 17 de janeiro 2022, pela Lei Federal n.º 9.605 de 12 de fevereiro de 1998; pelo Decreto Estadual n.º 4.889, de 31 de maio de 2005; pela Resolução do CONAMA n.º 307 de 5 de julho de 2002, pelo Pregão Eletrônico n.º 0000/202_ GMS </w:t>
      </w:r>
      <w:r>
        <w:rPr>
          <w:rFonts w:eastAsia="Arial" w:cs="Arial" w:ascii="Arial" w:hAnsi="Arial"/>
          <w:color w:val="000000"/>
          <w:position w:val="0"/>
          <w:sz w:val="20"/>
          <w:sz w:val="20"/>
          <w:szCs w:val="20"/>
          <w:highlight w:val="yellow"/>
          <w:vertAlign w:val="baseline"/>
        </w:rPr>
        <w:t>(protocolo n.º 00.000.000-0)</w:t>
      </w:r>
      <w:r>
        <w:rPr>
          <w:rFonts w:eastAsia="Arial" w:cs="Arial" w:ascii="Arial" w:hAnsi="Arial"/>
          <w:color w:val="000000"/>
          <w:position w:val="0"/>
          <w:sz w:val="20"/>
          <w:sz w:val="20"/>
          <w:szCs w:val="20"/>
          <w:vertAlign w:val="baseline"/>
        </w:rPr>
        <w:t xml:space="preserve"> do procedimento licitatório que originou o presente instrumento, com todos os seus anexos, pela proposta do licitante vencedor, e pelas cláusulas e condições seguintes:</w:t>
      </w:r>
    </w:p>
    <w:p>
      <w:pPr>
        <w:pStyle w:val="Normal1"/>
        <w:widowControl w:val="false"/>
        <w:tabs>
          <w:tab w:val="clear" w:pos="720"/>
          <w:tab w:val="left" w:pos="0" w:leader="none"/>
        </w:tabs>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tabs>
          <w:tab w:val="clear" w:pos="720"/>
          <w:tab w:val="left" w:pos="-7200" w:leader="none"/>
        </w:tabs>
        <w:spacing w:lineRule="auto" w:line="240" w:before="57" w:after="57"/>
        <w:rPr>
          <w:rFonts w:ascii="Arial" w:hAnsi="Arial" w:eastAsia="Arial" w:cs="Arial"/>
          <w:b/>
          <w:color w:val="FF0000"/>
          <w:position w:val="0"/>
          <w:sz w:val="20"/>
          <w:sz w:val="20"/>
          <w:szCs w:val="20"/>
          <w:vertAlign w:val="baseline"/>
        </w:rPr>
      </w:pPr>
      <w:r>
        <w:rPr>
          <w:rFonts w:eastAsia="Arial" w:cs="Arial" w:ascii="Arial" w:hAnsi="Arial"/>
          <w:b/>
          <w:color w:val="000000"/>
          <w:position w:val="0"/>
          <w:sz w:val="20"/>
          <w:sz w:val="20"/>
          <w:szCs w:val="20"/>
          <w:vertAlign w:val="baseline"/>
        </w:rPr>
        <w:t>1. CLÁUSULA PRIMEIRA – DO OBJETO</w:t>
      </w:r>
    </w:p>
    <w:p>
      <w:pPr>
        <w:pStyle w:val="Normal1"/>
        <w:widowControl w:val="false"/>
        <w:tabs>
          <w:tab w:val="clear" w:pos="720"/>
          <w:tab w:val="left" w:pos="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tbl>
      <w:tblPr>
        <w:tblStyle w:val="Table41"/>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24</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0"/>
                <w:sz w:val="20"/>
                <w:szCs w:val="20"/>
                <w:vertAlign w:val="baseline"/>
              </w:rPr>
              <w:t>A Administração deverá adotar uma das redações a seguir:</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spacing w:lineRule="auto" w:line="240" w:before="57" w:after="0"/>
              <w:ind w:right="-1"/>
              <w:jc w:val="both"/>
              <w:rPr>
                <w:rFonts w:ascii="Arial" w:hAnsi="Arial" w:eastAsia="Arial" w:cs="Arial"/>
                <w:position w:val="0"/>
                <w:sz w:val="24"/>
                <w:sz w:val="24"/>
                <w:vertAlign w:val="baseline"/>
              </w:rPr>
            </w:pPr>
            <w:r>
              <w:rPr>
                <w:rFonts w:eastAsia="Arial" w:cs="Arial" w:ascii="Arial" w:hAnsi="Arial"/>
                <w:b/>
                <w:position w:val="0"/>
                <w:sz w:val="20"/>
                <w:sz w:val="20"/>
                <w:szCs w:val="20"/>
                <w:vertAlign w:val="baseline"/>
              </w:rPr>
              <w:t xml:space="preserve">1.1 </w:t>
            </w:r>
            <w:r>
              <w:rPr>
                <w:rFonts w:eastAsia="Arial" w:cs="Arial" w:ascii="Arial" w:hAnsi="Arial"/>
                <w:position w:val="0"/>
                <w:sz w:val="20"/>
                <w:sz w:val="20"/>
                <w:szCs w:val="20"/>
                <w:vertAlign w:val="baseline"/>
              </w:rPr>
              <w:t>Constitui objeto do presente Contrato a execução de serviço(s) de engenharia xxx, de xxx metros quadrados, localizada na xxx, município de xxx, Paraná, conforme planilha de custos (Anexo XIII).</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b/>
                <w:position w:val="0"/>
                <w:sz w:val="20"/>
                <w:sz w:val="20"/>
                <w:szCs w:val="20"/>
                <w:vertAlign w:val="baseline"/>
              </w:rPr>
              <w:t>OU</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b/>
                <w:position w:val="0"/>
                <w:sz w:val="20"/>
                <w:sz w:val="20"/>
                <w:szCs w:val="20"/>
                <w:vertAlign w:val="baseline"/>
              </w:rPr>
              <w:t xml:space="preserve">1.1 </w:t>
            </w:r>
            <w:r>
              <w:rPr>
                <w:rFonts w:eastAsia="Arial" w:cs="Arial" w:ascii="Arial" w:hAnsi="Arial"/>
                <w:position w:val="0"/>
                <w:sz w:val="20"/>
                <w:sz w:val="20"/>
                <w:szCs w:val="20"/>
                <w:vertAlign w:val="baseline"/>
              </w:rPr>
              <w:t>Constitui objeto do presente Contrato a execução de serviço(s) de engenharia xxx (indicar qual(ais)), localizada, município de xxx, Paraná, conforme planilha de custos (Anexo XIII).</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widowControl w:val="false"/>
        <w:tabs>
          <w:tab w:val="clear" w:pos="720"/>
          <w:tab w:val="left" w:pos="-7200" w:leader="none"/>
        </w:tabs>
        <w:spacing w:lineRule="auto" w:line="240" w:before="57" w:after="0"/>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widowControl w:val="false"/>
        <w:tabs>
          <w:tab w:val="clear" w:pos="720"/>
          <w:tab w:val="left" w:pos="-7200" w:leader="none"/>
        </w:tabs>
        <w:spacing w:lineRule="auto" w:line="240" w:before="57" w:after="57"/>
        <w:rPr>
          <w:rFonts w:ascii="Arial" w:hAnsi="Arial" w:eastAsia="Arial" w:cs="Arial"/>
          <w:b/>
          <w:color w:val="FF0000"/>
          <w:position w:val="0"/>
          <w:sz w:val="20"/>
          <w:sz w:val="20"/>
          <w:szCs w:val="20"/>
          <w:vertAlign w:val="baseline"/>
        </w:rPr>
      </w:pPr>
      <w:r>
        <w:rPr>
          <w:rFonts w:eastAsia="Arial" w:cs="Arial" w:ascii="Arial" w:hAnsi="Arial"/>
          <w:b/>
          <w:color w:val="000000"/>
          <w:position w:val="0"/>
          <w:sz w:val="20"/>
          <w:sz w:val="20"/>
          <w:szCs w:val="20"/>
          <w:vertAlign w:val="baseline"/>
        </w:rPr>
        <w:t>2. CLÁUSULA SEGUNDA</w:t>
      </w:r>
    </w:p>
    <w:p>
      <w:pPr>
        <w:pStyle w:val="Normal1"/>
        <w:widowControl w:val="false"/>
        <w:tabs>
          <w:tab w:val="clear" w:pos="720"/>
          <w:tab w:val="left" w:pos="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tbl>
      <w:tblPr>
        <w:tblStyle w:val="Table42"/>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25</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ind w:right="-1"/>
              <w:jc w:val="both"/>
              <w:rPr>
                <w:position w:val="0"/>
                <w:sz w:val="24"/>
                <w:sz w:val="24"/>
                <w:vertAlign w:val="baseline"/>
              </w:rPr>
            </w:pPr>
            <w:r>
              <w:rPr>
                <w:rFonts w:eastAsia="Arial" w:cs="Arial" w:ascii="Arial" w:hAnsi="Arial"/>
                <w:position w:val="0"/>
                <w:sz w:val="20"/>
                <w:sz w:val="20"/>
                <w:szCs w:val="20"/>
                <w:vertAlign w:val="baseline"/>
              </w:rPr>
              <w:t>A Administração deverá listar na Cláusula Segunda, os documentos que são parte integrante do Contrato.</w:t>
            </w:r>
          </w:p>
        </w:tc>
      </w:tr>
    </w:tbl>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 xml:space="preserve">2.1. </w:t>
      </w:r>
      <w:r>
        <w:rPr>
          <w:rFonts w:eastAsia="Arial" w:cs="Arial" w:ascii="Arial" w:hAnsi="Arial"/>
          <w:position w:val="0"/>
          <w:sz w:val="20"/>
          <w:sz w:val="20"/>
          <w:szCs w:val="20"/>
          <w:vertAlign w:val="baseline"/>
        </w:rPr>
        <w:t>Este contrato está instruído com os seguintes documentos:</w:t>
      </w:r>
    </w:p>
    <w:p>
      <w:pPr>
        <w:pStyle w:val="Normal1"/>
        <w:shd w:val="clear" w:fill="FFFFFF"/>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a) </w:t>
      </w:r>
      <w:r>
        <w:rPr>
          <w:rFonts w:eastAsia="Arial" w:cs="Arial" w:ascii="Arial" w:hAnsi="Arial"/>
          <w:position w:val="0"/>
          <w:sz w:val="20"/>
          <w:sz w:val="20"/>
          <w:szCs w:val="20"/>
          <w:highlight w:val="yellow"/>
          <w:vertAlign w:val="baseline"/>
        </w:rPr>
        <w:t>XXXXXXXXXXXX</w:t>
      </w:r>
    </w:p>
    <w:p>
      <w:pPr>
        <w:pStyle w:val="Normal1"/>
        <w:shd w:val="clear" w:fill="FFFFFF"/>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b) </w:t>
      </w:r>
      <w:r>
        <w:rPr>
          <w:rFonts w:eastAsia="Arial" w:cs="Arial" w:ascii="Arial" w:hAnsi="Arial"/>
          <w:position w:val="0"/>
          <w:sz w:val="20"/>
          <w:sz w:val="20"/>
          <w:szCs w:val="20"/>
          <w:highlight w:val="yellow"/>
          <w:vertAlign w:val="baseline"/>
        </w:rPr>
        <w:t>XXXXXXXXXXXX</w:t>
      </w:r>
    </w:p>
    <w:p>
      <w:pPr>
        <w:pStyle w:val="Normal1"/>
        <w:shd w:val="clear" w:fill="FFFFFF"/>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c)</w:t>
      </w:r>
      <w:r>
        <w:rPr>
          <w:rFonts w:eastAsia="Arial" w:cs="Arial" w:ascii="Arial" w:hAnsi="Arial"/>
          <w:position w:val="0"/>
          <w:sz w:val="20"/>
          <w:sz w:val="20"/>
          <w:szCs w:val="20"/>
          <w:highlight w:val="yellow"/>
          <w:vertAlign w:val="baseline"/>
        </w:rPr>
        <w:t xml:space="preserve"> XXXXXXXXXXXX</w:t>
      </w:r>
    </w:p>
    <w:p>
      <w:pPr>
        <w:pStyle w:val="Normal1"/>
        <w:shd w:val="clear" w:fill="FFFFFF"/>
        <w:spacing w:lineRule="auto" w:line="240" w:before="57" w:after="57"/>
        <w:ind w:hanging="0" w:left="283" w:right="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vertAlign w:val="baseline"/>
        </w:rPr>
        <w:t xml:space="preserve">d) </w:t>
      </w:r>
      <w:r>
        <w:rPr>
          <w:rFonts w:eastAsia="Arial" w:cs="Arial" w:ascii="Arial" w:hAnsi="Arial"/>
          <w:position w:val="0"/>
          <w:sz w:val="20"/>
          <w:sz w:val="20"/>
          <w:szCs w:val="20"/>
          <w:highlight w:val="yellow"/>
          <w:vertAlign w:val="baseline"/>
        </w:rPr>
        <w:t>XXXXXXXXXXXX</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highlight w:val="yellow"/>
          <w:vertAlign w:val="baseline"/>
        </w:rPr>
        <w:t>(...)</w:t>
      </w:r>
    </w:p>
    <w:p>
      <w:pPr>
        <w:pStyle w:val="Normal1"/>
        <w:shd w:val="clear" w:fill="FFFFFF"/>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2.2.</w:t>
      </w:r>
      <w:r>
        <w:rPr>
          <w:rFonts w:eastAsia="Arial" w:cs="Arial" w:ascii="Arial" w:hAnsi="Arial"/>
          <w:position w:val="0"/>
          <w:sz w:val="20"/>
          <w:sz w:val="20"/>
          <w:szCs w:val="20"/>
          <w:vertAlign w:val="baseline"/>
        </w:rPr>
        <w:t xml:space="preserve"> Em caso de divergência ou duplicidade em relação aos elementos técnicos instrutores, prevalecerá na execução do objeto do contrato a seguinte ordem de prioridade:</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2.2.1. </w:t>
      </w:r>
      <w:r>
        <w:rPr>
          <w:rFonts w:eastAsia="Arial" w:cs="Arial" w:ascii="Arial" w:hAnsi="Arial"/>
          <w:position w:val="0"/>
          <w:sz w:val="20"/>
          <w:sz w:val="20"/>
          <w:szCs w:val="20"/>
          <w:vertAlign w:val="baseline"/>
        </w:rPr>
        <w:t>Projetos arquitetônico e complementares, especificações e memoriais descritivos e demais elementos técnicos pertinentes a cada caso;</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2.2.2. </w:t>
      </w:r>
      <w:r>
        <w:rPr>
          <w:rFonts w:eastAsia="Arial" w:cs="Arial" w:ascii="Arial" w:hAnsi="Arial"/>
          <w:position w:val="0"/>
          <w:sz w:val="20"/>
          <w:sz w:val="20"/>
          <w:szCs w:val="20"/>
          <w:vertAlign w:val="baseline"/>
        </w:rPr>
        <w:t>Planilha de quantidades de serviços;</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2.2.3. </w:t>
      </w:r>
      <w:r>
        <w:rPr>
          <w:rFonts w:eastAsia="Arial" w:cs="Arial" w:ascii="Arial" w:hAnsi="Arial"/>
          <w:position w:val="0"/>
          <w:sz w:val="20"/>
          <w:sz w:val="20"/>
          <w:szCs w:val="20"/>
          <w:vertAlign w:val="baseline"/>
        </w:rPr>
        <w:t>Nos projetos prevalecerão os elementos de maior detalhamento;</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2.2.4 </w:t>
      </w:r>
      <w:r>
        <w:rPr>
          <w:rFonts w:eastAsia="Arial" w:cs="Arial" w:ascii="Arial" w:hAnsi="Arial"/>
          <w:position w:val="0"/>
          <w:sz w:val="20"/>
          <w:sz w:val="20"/>
          <w:szCs w:val="20"/>
          <w:vertAlign w:val="baseline"/>
        </w:rPr>
        <w:t>A planilha de quantidades e serviços será orientativa, devendo o CONTRATADO tomar por base o(s) projeto(s) constante(s) e os anexos do instrumento convocatório, desde o momento da efetivação de sua proposta no procedimento licitatório até a execução do objeto;</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2.2.5. </w:t>
      </w:r>
      <w:r>
        <w:rPr>
          <w:rFonts w:eastAsia="Arial" w:cs="Arial" w:ascii="Arial" w:hAnsi="Arial"/>
          <w:position w:val="0"/>
          <w:sz w:val="20"/>
          <w:sz w:val="20"/>
          <w:szCs w:val="20"/>
          <w:vertAlign w:val="baseline"/>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pPr>
        <w:pStyle w:val="Normal1"/>
        <w:shd w:val="clear" w:fill="FFFFFF"/>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2.3.</w:t>
      </w:r>
      <w:r>
        <w:rPr>
          <w:rFonts w:eastAsia="Arial" w:cs="Arial" w:ascii="Arial" w:hAnsi="Arial"/>
          <w:position w:val="0"/>
          <w:sz w:val="20"/>
          <w:sz w:val="20"/>
          <w:szCs w:val="20"/>
          <w:vertAlign w:val="baseline"/>
        </w:rPr>
        <w:t xml:space="preserve"> Se o </w:t>
      </w:r>
      <w:r>
        <w:rPr>
          <w:rFonts w:eastAsia="Arial" w:cs="Arial" w:ascii="Arial" w:hAnsi="Arial"/>
          <w:color w:val="000000"/>
          <w:position w:val="0"/>
          <w:sz w:val="20"/>
          <w:sz w:val="20"/>
          <w:szCs w:val="20"/>
          <w:vertAlign w:val="baseline"/>
        </w:rPr>
        <w:t xml:space="preserve">CONTRATADO, em qualquer fase da execução do contrato, considerar necessária a retificação dos elementos técnicos instrutores, deverá requerer suas alterações, em tempo hábil, ao CONTRATANTE, não se justificando o </w:t>
      </w:r>
      <w:r>
        <w:rPr>
          <w:rFonts w:eastAsia="Arial" w:cs="Arial" w:ascii="Arial" w:hAnsi="Arial"/>
          <w:position w:val="0"/>
          <w:sz w:val="20"/>
          <w:sz w:val="20"/>
          <w:szCs w:val="20"/>
          <w:vertAlign w:val="baseline"/>
        </w:rPr>
        <w:t>abandono das atividades ajustadas, por inadequações não reclamadas na ocasião oportuna;</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2.3.1. </w:t>
      </w:r>
      <w:r>
        <w:rPr>
          <w:rFonts w:eastAsia="Arial" w:cs="Arial" w:ascii="Arial" w:hAnsi="Arial"/>
          <w:color w:val="000000"/>
          <w:position w:val="0"/>
          <w:sz w:val="20"/>
          <w:sz w:val="20"/>
          <w:szCs w:val="20"/>
          <w:vertAlign w:val="baseline"/>
        </w:rPr>
        <w:t>Nenhuma modificação poderá ser feita nos desenhos e nas especificações dos projetos sem autorização expressa do CONTRATANTE.</w:t>
      </w:r>
    </w:p>
    <w:p>
      <w:pPr>
        <w:pStyle w:val="Normal1"/>
        <w:shd w:val="clear" w:fill="FFFFFF"/>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2.4.</w:t>
      </w:r>
      <w:r>
        <w:rPr>
          <w:rFonts w:eastAsia="Arial" w:cs="Arial" w:ascii="Arial" w:hAnsi="Arial"/>
          <w:position w:val="0"/>
          <w:sz w:val="20"/>
          <w:sz w:val="20"/>
          <w:szCs w:val="20"/>
          <w:vertAlign w:val="baseline"/>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item 2.3 deste Contrato e seu subitem.</w:t>
      </w:r>
    </w:p>
    <w:p>
      <w:pPr>
        <w:pStyle w:val="Normal1"/>
        <w:shd w:val="clear" w:fill="FFFFFF"/>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2.5</w:t>
      </w:r>
      <w:r>
        <w:rPr>
          <w:rFonts w:eastAsia="Arial" w:cs="Arial" w:ascii="Arial" w:hAnsi="Arial"/>
          <w:position w:val="0"/>
          <w:sz w:val="20"/>
          <w:sz w:val="20"/>
          <w:szCs w:val="20"/>
          <w:vertAlign w:val="baseline"/>
        </w:rPr>
        <w:t>. A formalização de contrato presume que o CONTRATADO;</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2.5.1 </w:t>
      </w:r>
      <w:r>
        <w:rPr>
          <w:rFonts w:eastAsia="Arial" w:cs="Arial" w:ascii="Arial" w:hAnsi="Arial"/>
          <w:position w:val="0"/>
          <w:sz w:val="20"/>
          <w:sz w:val="20"/>
          <w:szCs w:val="20"/>
          <w:vertAlign w:val="baseline"/>
        </w:rPr>
        <w:t xml:space="preserve">Examinou criteriosamente todos os elementos técnicos instrutores, que os comparou entre si e obteve expressamente do </w:t>
      </w:r>
      <w:r>
        <w:rPr>
          <w:rFonts w:eastAsia="Arial" w:cs="Arial" w:ascii="Arial" w:hAnsi="Arial"/>
          <w:smallCaps/>
          <w:position w:val="0"/>
          <w:sz w:val="20"/>
          <w:sz w:val="20"/>
          <w:szCs w:val="20"/>
          <w:vertAlign w:val="baseline"/>
        </w:rPr>
        <w:t>CONTRATANTE</w:t>
      </w:r>
      <w:r>
        <w:rPr>
          <w:rFonts w:eastAsia="Arial" w:cs="Arial" w:ascii="Arial" w:hAnsi="Arial"/>
          <w:position w:val="0"/>
          <w:sz w:val="20"/>
          <w:sz w:val="20"/>
          <w:szCs w:val="20"/>
          <w:vertAlign w:val="baseline"/>
        </w:rPr>
        <w:t xml:space="preserve"> as informações necessárias à sua consecução;</w:t>
      </w:r>
    </w:p>
    <w:p>
      <w:pPr>
        <w:pStyle w:val="Normal1"/>
        <w:shd w:val="clear" w:fill="FFFFFF"/>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2.5.2 </w:t>
      </w:r>
      <w:r>
        <w:rPr>
          <w:rFonts w:eastAsia="Arial" w:cs="Arial" w:ascii="Arial" w:hAnsi="Arial"/>
          <w:position w:val="0"/>
          <w:sz w:val="20"/>
          <w:sz w:val="20"/>
          <w:szCs w:val="20"/>
          <w:vertAlign w:val="baseline"/>
        </w:rPr>
        <w:t>Atestou que conhece o local e as condições de realização da obra ou serviço, ficando ciente de todos os detalhes do empreendimento e de que conhece as condições de sua execução.</w:t>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2.6</w:t>
      </w:r>
      <w:r>
        <w:rPr>
          <w:rFonts w:eastAsia="Arial" w:cs="Arial" w:ascii="Arial" w:hAnsi="Arial"/>
          <w:position w:val="0"/>
          <w:sz w:val="20"/>
          <w:sz w:val="20"/>
          <w:szCs w:val="20"/>
          <w:vertAlign w:val="baseline"/>
        </w:rPr>
        <w:t xml:space="preserve"> As placas de obra deverão seguir o modelo estabelecido pelo Estado, e devem estar perfeitamente visíveis e legíveis ao público.</w:t>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0" w:leader="none"/>
        </w:tabs>
        <w:spacing w:lineRule="auto" w:line="240" w:before="57" w:after="0"/>
        <w:rPr>
          <w:rFonts w:ascii="Arial" w:hAnsi="Arial" w:eastAsia="Arial" w:cs="Arial"/>
          <w:b/>
          <w:color w:val="00000A"/>
          <w:position w:val="0"/>
          <w:sz w:val="20"/>
          <w:sz w:val="20"/>
          <w:szCs w:val="20"/>
          <w:highlight w:val="white"/>
          <w:vertAlign w:val="baseline"/>
        </w:rPr>
      </w:pPr>
      <w:r>
        <w:rPr>
          <w:rFonts w:eastAsia="Arial" w:cs="Arial" w:ascii="Arial" w:hAnsi="Arial"/>
          <w:b/>
          <w:color w:val="00000A"/>
          <w:position w:val="0"/>
          <w:sz w:val="20"/>
          <w:sz w:val="20"/>
          <w:szCs w:val="20"/>
          <w:vertAlign w:val="baseline"/>
        </w:rPr>
        <w:t>3. CLÁUSULA TERCEIRA – DO REGIME DE EXECUÇÃO</w:t>
      </w:r>
    </w:p>
    <w:p>
      <w:pPr>
        <w:pStyle w:val="Normal1"/>
        <w:widowControl w:val="false"/>
        <w:tabs>
          <w:tab w:val="clear" w:pos="720"/>
          <w:tab w:val="left" w:pos="0" w:leader="none"/>
        </w:tabs>
        <w:spacing w:lineRule="auto" w:line="240" w:before="57" w:after="0"/>
        <w:rPr>
          <w:rFonts w:ascii="Arial" w:hAnsi="Arial" w:eastAsia="Arial" w:cs="Arial"/>
          <w:position w:val="0"/>
          <w:sz w:val="20"/>
          <w:sz w:val="20"/>
          <w:szCs w:val="20"/>
          <w:highlight w:val="yellow"/>
          <w:vertAlign w:val="baseline"/>
        </w:rPr>
      </w:pPr>
      <w:r>
        <w:rPr>
          <w:rFonts w:eastAsia="Arial" w:cs="Arial" w:ascii="Arial" w:hAnsi="Arial"/>
          <w:b/>
          <w:color w:val="00000A"/>
          <w:position w:val="0"/>
          <w:sz w:val="20"/>
          <w:sz w:val="20"/>
          <w:szCs w:val="20"/>
          <w:highlight w:val="white"/>
          <w:vertAlign w:val="baseline"/>
        </w:rPr>
        <w:t xml:space="preserve">3.1 </w:t>
      </w:r>
      <w:r>
        <w:rPr>
          <w:rFonts w:eastAsia="Arial" w:cs="Arial" w:ascii="Arial" w:hAnsi="Arial"/>
          <w:color w:val="00000A"/>
          <w:position w:val="0"/>
          <w:sz w:val="20"/>
          <w:sz w:val="20"/>
          <w:szCs w:val="20"/>
          <w:highlight w:val="white"/>
          <w:vertAlign w:val="baseline"/>
        </w:rPr>
        <w:t xml:space="preserve">O regime de execução do presente Contrato será o de empreitada </w:t>
      </w:r>
      <w:r>
        <w:rPr>
          <w:rFonts w:eastAsia="Arial" w:cs="Arial" w:ascii="Arial" w:hAnsi="Arial"/>
          <w:color w:val="00000A"/>
          <w:position w:val="0"/>
          <w:sz w:val="20"/>
          <w:sz w:val="20"/>
          <w:szCs w:val="20"/>
          <w:highlight w:val="yellow"/>
          <w:vertAlign w:val="baseline"/>
        </w:rPr>
        <w:t>xxxxxxxxxx.</w:t>
      </w:r>
    </w:p>
    <w:p>
      <w:pPr>
        <w:pStyle w:val="Normal1"/>
        <w:widowControl w:val="false"/>
        <w:shd w:val="clear" w:fill="FFFFFF"/>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tbl>
      <w:tblPr>
        <w:tblStyle w:val="Table43"/>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26</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ind w:right="-1"/>
              <w:jc w:val="both"/>
              <w:rPr>
                <w:position w:val="0"/>
                <w:sz w:val="20"/>
                <w:sz w:val="20"/>
                <w:szCs w:val="20"/>
                <w:highlight w:val="yellow"/>
                <w:vertAlign w:val="baseline"/>
              </w:rPr>
            </w:pPr>
            <w:r>
              <w:rPr>
                <w:rFonts w:eastAsia="Arial" w:cs="Arial" w:ascii="Arial" w:hAnsi="Arial"/>
                <w:position w:val="0"/>
                <w:sz w:val="20"/>
                <w:sz w:val="20"/>
                <w:szCs w:val="20"/>
                <w:vertAlign w:val="baseline"/>
              </w:rPr>
              <w:t xml:space="preserve">A Administração deverá </w:t>
            </w:r>
            <w:r>
              <w:rPr>
                <w:rFonts w:eastAsia="Arial" w:cs="Arial" w:ascii="Arial" w:hAnsi="Arial"/>
                <w:position w:val="0"/>
                <w:sz w:val="20"/>
                <w:sz w:val="20"/>
                <w:szCs w:val="20"/>
                <w:highlight w:val="yellow"/>
                <w:vertAlign w:val="baseline"/>
              </w:rPr>
              <w:t>definir um dos regimes de empreitada previsto na Lei Federal n.º 14.133/2021.</w:t>
            </w:r>
          </w:p>
          <w:p>
            <w:pPr>
              <w:pStyle w:val="Normal1"/>
              <w:keepNext w:val="tru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empreitada por preço unitário: contratação da execução da obra ou do serviço por preço certo de unidades determinadas;</w:t>
            </w:r>
            <w:bookmarkStart w:id="12" w:name="bookmark=id.26in1rg"/>
            <w:bookmarkEnd w:id="12"/>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p>
          <w:p>
            <w:pPr>
              <w:pStyle w:val="Normal1"/>
              <w:keepNext w:val="tru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empreitada por preço global: contratação da execução da obra ou do serviço por preço certo e total;</w:t>
            </w:r>
          </w:p>
          <w:p>
            <w:pPr>
              <w:pStyle w:val="Normal1"/>
              <w:keepNext w:val="tru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pPr>
              <w:pStyle w:val="Normal1"/>
              <w:keepNext w:val="tru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contratação por tarefa: regime de contratação de mão de obra para pequenos trabalhos por preço certo, com ou sem fornecimento de materiais;</w:t>
            </w:r>
          </w:p>
          <w:p>
            <w:pPr>
              <w:pStyle w:val="Normal1"/>
              <w:keepNext w:val="tru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pPr>
              <w:pStyle w:val="Normal1"/>
              <w:keepNext w:val="true"/>
              <w:keepLines w:val="false"/>
              <w:widowControl/>
              <w:shd w:val="clear" w:fill="FFFF00"/>
              <w:spacing w:lineRule="auto" w:line="240" w:before="0" w:after="0"/>
              <w:ind w:hanging="0" w:left="0" w:right="-1"/>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contratação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widowControl w:val="false"/>
        <w:tabs>
          <w:tab w:val="clear" w:pos="720"/>
          <w:tab w:val="left" w:pos="-720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p>
      <w:pPr>
        <w:pStyle w:val="Normal1"/>
        <w:widowControl w:val="false"/>
        <w:tabs>
          <w:tab w:val="clear" w:pos="720"/>
          <w:tab w:val="left" w:pos="-7200" w:leader="none"/>
        </w:tabs>
        <w:spacing w:lineRule="auto" w:line="240" w:before="57" w:after="57"/>
        <w:rPr>
          <w:rFonts w:ascii="Arial" w:hAnsi="Arial" w:eastAsia="Arial" w:cs="Arial"/>
          <w:b/>
          <w:color w:val="00000A"/>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4. CLÁUSULA QUARTA – DO VALOR</w:t>
      </w:r>
    </w:p>
    <w:p>
      <w:pPr>
        <w:pStyle w:val="Normal1"/>
        <w:spacing w:lineRule="auto" w:line="240" w:before="57" w:after="57"/>
        <w:jc w:val="both"/>
        <w:rPr>
          <w:position w:val="0"/>
          <w:sz w:val="24"/>
          <w:sz w:val="24"/>
          <w:vertAlign w:val="baseline"/>
        </w:rPr>
      </w:pPr>
      <w:r>
        <w:rPr>
          <w:rFonts w:eastAsia="Arial" w:cs="Arial" w:ascii="Arial" w:hAnsi="Arial"/>
          <w:b/>
          <w:color w:val="00000A"/>
          <w:position w:val="0"/>
          <w:sz w:val="20"/>
          <w:sz w:val="20"/>
          <w:szCs w:val="20"/>
          <w:highlight w:val="white"/>
          <w:vertAlign w:val="baseline"/>
        </w:rPr>
        <w:t>4.1.</w:t>
      </w:r>
      <w:r>
        <w:rPr>
          <w:rFonts w:eastAsia="Arial" w:cs="Arial" w:ascii="Arial" w:hAnsi="Arial"/>
          <w:color w:val="00000A"/>
          <w:position w:val="0"/>
          <w:sz w:val="20"/>
          <w:sz w:val="20"/>
          <w:szCs w:val="20"/>
          <w:highlight w:val="white"/>
          <w:vertAlign w:val="baseline"/>
        </w:rPr>
        <w:t xml:space="preserve"> No valor global do presente Contrato é R$ ______________ (______________________________), sendo 00,00% (xxx vírgula xxx por cento) referente aos materiais e 00,00% (xxx vírgula xxx por cento) referente à mão de obra.</w:t>
      </w:r>
    </w:p>
    <w:p>
      <w:pPr>
        <w:pStyle w:val="Normal1"/>
        <w:spacing w:lineRule="auto" w:line="240" w:before="57" w:after="57"/>
        <w:jc w:val="both"/>
        <w:rPr>
          <w:position w:val="0"/>
          <w:sz w:val="24"/>
          <w:sz w:val="24"/>
          <w:vertAlign w:val="baseline"/>
        </w:rPr>
      </w:pPr>
      <w:r>
        <w:rPr>
          <w:position w:val="0"/>
          <w:sz w:val="24"/>
          <w:sz w:val="24"/>
          <w:vertAlign w:val="baseline"/>
        </w:rPr>
      </w:r>
    </w:p>
    <w:p>
      <w:pPr>
        <w:pStyle w:val="Normal1"/>
        <w:widowControl w:val="false"/>
        <w:tabs>
          <w:tab w:val="clear" w:pos="720"/>
          <w:tab w:val="left" w:pos="0" w:leader="none"/>
        </w:tabs>
        <w:spacing w:lineRule="auto" w:line="240" w:before="57" w:after="57"/>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5. CLÁUSULA QUINTA – DO PRAZO DE EXECUÇÃO E DE VIGÊNCIA</w:t>
      </w:r>
    </w:p>
    <w:p>
      <w:pPr>
        <w:pStyle w:val="Normal1"/>
        <w:widowControl w:val="false"/>
        <w:shd w:val="clear" w:fill="FFFFFF"/>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5.1</w:t>
      </w:r>
      <w:r>
        <w:rPr>
          <w:rFonts w:eastAsia="Arial" w:cs="Arial" w:ascii="Arial" w:hAnsi="Arial"/>
          <w:position w:val="0"/>
          <w:sz w:val="20"/>
          <w:sz w:val="20"/>
          <w:szCs w:val="20"/>
          <w:vertAlign w:val="baseline"/>
        </w:rPr>
        <w:t xml:space="preserve"> O prazo de execução do contrato é de </w:t>
      </w:r>
      <w:r>
        <w:rPr>
          <w:rFonts w:eastAsia="Arial" w:cs="Arial" w:ascii="Arial" w:hAnsi="Arial"/>
          <w:position w:val="0"/>
          <w:sz w:val="20"/>
          <w:sz w:val="20"/>
          <w:szCs w:val="20"/>
          <w:highlight w:val="yellow"/>
          <w:vertAlign w:val="baseline"/>
        </w:rPr>
        <w:t>000 (xxx)</w:t>
      </w:r>
      <w:r>
        <w:rPr>
          <w:rFonts w:eastAsia="Arial" w:cs="Arial" w:ascii="Arial" w:hAnsi="Arial"/>
          <w:position w:val="0"/>
          <w:sz w:val="20"/>
          <w:sz w:val="20"/>
          <w:szCs w:val="20"/>
          <w:vertAlign w:val="baseline"/>
        </w:rPr>
        <w:t xml:space="preserve"> dias corridos, contados a partir da data estabelecida na Ordem de Serviço para início da execução do objeto, e a vigência do contrato se inicia com a assinatura do contrato e é de 180 (cento e oitenta) dias contados a partir do término do prazo de execução.</w:t>
      </w:r>
    </w:p>
    <w:p>
      <w:pPr>
        <w:pStyle w:val="Normal1"/>
        <w:widowControl w:val="false"/>
        <w:shd w:val="clear" w:fill="FFFFFF"/>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5.2.</w:t>
      </w:r>
      <w:r>
        <w:rPr>
          <w:rFonts w:eastAsia="Arial" w:cs="Arial" w:ascii="Arial" w:hAnsi="Arial"/>
          <w:position w:val="0"/>
          <w:sz w:val="20"/>
          <w:sz w:val="20"/>
          <w:szCs w:val="20"/>
          <w:vertAlign w:val="baseline"/>
        </w:rPr>
        <w:t xml:space="preserve"> </w:t>
      </w:r>
      <w:r>
        <w:rPr>
          <w:rFonts w:eastAsia="Arial" w:cs="Arial" w:ascii="Arial" w:hAnsi="Arial"/>
          <w:color w:val="000000"/>
          <w:position w:val="0"/>
          <w:sz w:val="20"/>
          <w:sz w:val="20"/>
          <w:szCs w:val="20"/>
          <w:vertAlign w:val="baseline"/>
        </w:rPr>
        <w:t>O prazo de vigência será automaticamente prorrogado quando seu objeto não for concluído no período firmado no contrato.</w:t>
      </w:r>
    </w:p>
    <w:p>
      <w:pPr>
        <w:pStyle w:val="Normal1"/>
        <w:widowControl w:val="false"/>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5.2.1.</w:t>
      </w:r>
      <w:r>
        <w:rPr>
          <w:rFonts w:eastAsia="Arial" w:cs="Arial" w:ascii="Arial" w:hAnsi="Arial"/>
          <w:color w:val="000000"/>
          <w:position w:val="0"/>
          <w:sz w:val="20"/>
          <w:sz w:val="20"/>
          <w:szCs w:val="20"/>
          <w:vertAlign w:val="baseline"/>
        </w:rPr>
        <w:t xml:space="preserve"> Quando a não conclusão decorrer de culpa do contratado:</w:t>
      </w:r>
    </w:p>
    <w:p>
      <w:pPr>
        <w:pStyle w:val="Normal1"/>
        <w:rPr>
          <w:color w:val="000000"/>
          <w:position w:val="0"/>
          <w:sz w:val="20"/>
          <w:sz w:val="20"/>
          <w:szCs w:val="20"/>
          <w:vertAlign w:val="baseline"/>
        </w:rPr>
      </w:pPr>
      <w:r>
        <w:rPr>
          <w:rFonts w:eastAsia="Arial" w:cs="Arial" w:ascii="Arial" w:hAnsi="Arial"/>
          <w:color w:val="000000"/>
          <w:position w:val="0"/>
          <w:sz w:val="20"/>
          <w:sz w:val="20"/>
          <w:szCs w:val="20"/>
          <w:vertAlign w:val="baseline"/>
        </w:rPr>
        <w:t>a) o contratado será constituído em mora, aplicáveis a ele as respectivas sanções administrativas;</w:t>
      </w:r>
      <w:bookmarkStart w:id="13" w:name="bookmark=id.lnxbz9"/>
      <w:bookmarkEnd w:id="13"/>
    </w:p>
    <w:p>
      <w:pPr>
        <w:pStyle w:val="Normal1"/>
        <w:keepNext w:val="true"/>
        <w:keepLines w:val="false"/>
        <w:pageBreakBefore w:val="false"/>
        <w:widowControl/>
        <w:shd w:val="clear" w:fill="FFFFFF"/>
        <w:spacing w:lineRule="auto" w:line="240" w:before="240" w:after="120"/>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a Administração poderá optar pela extinção do contrato e, nesse caso, adotará as medidas admitidas em lei para a continuidade da execução contratual.</w:t>
      </w:r>
    </w:p>
    <w:p>
      <w:pPr>
        <w:pStyle w:val="Normal1"/>
        <w:widowControl w:val="false"/>
        <w:shd w:val="clear" w:fill="FFFFFF"/>
        <w:spacing w:lineRule="auto" w:line="240" w:before="57" w:after="57"/>
        <w:jc w:val="both"/>
        <w:rPr>
          <w:position w:val="0"/>
          <w:sz w:val="24"/>
          <w:sz w:val="24"/>
          <w:vertAlign w:val="baseline"/>
        </w:rPr>
      </w:pPr>
      <w:r>
        <w:rPr>
          <w:position w:val="0"/>
          <w:sz w:val="24"/>
          <w:sz w:val="24"/>
          <w:vertAlign w:val="baseline"/>
        </w:rPr>
      </w:r>
    </w:p>
    <w:tbl>
      <w:tblPr>
        <w:tblStyle w:val="Table44"/>
        <w:tblW w:w="9033" w:type="dxa"/>
        <w:jc w:val="left"/>
        <w:tblInd w:w="-55" w:type="dxa"/>
        <w:tblLayout w:type="fixed"/>
        <w:tblCellMar>
          <w:top w:w="0" w:type="dxa"/>
          <w:left w:w="108" w:type="dxa"/>
          <w:bottom w:w="0" w:type="dxa"/>
          <w:right w:w="108" w:type="dxa"/>
        </w:tblCellMar>
        <w:tblLook w:val="0000"/>
      </w:tblPr>
      <w:tblGrid>
        <w:gridCol w:w="9033"/>
      </w:tblGrid>
      <w:tr>
        <w:trPr/>
        <w:tc>
          <w:tcPr>
            <w:tcW w:w="9033"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t>27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end"/>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r>
          </w:p>
          <w:p>
            <w:pPr>
              <w:pStyle w:val="Normal1"/>
              <w:shd w:val="clear" w:fill="FFFF00"/>
              <w:jc w:val="both"/>
              <w:rPr>
                <w:rFonts w:ascii="Arial" w:hAnsi="Arial" w:eastAsia="Arial" w:cs="Arial"/>
                <w:b/>
                <w:color w:val="000000"/>
                <w:position w:val="0"/>
                <w:sz w:val="20"/>
                <w:sz w:val="20"/>
                <w:szCs w:val="20"/>
                <w:vertAlign w:val="baseline"/>
              </w:rPr>
            </w:pPr>
            <w:r>
              <w:rPr>
                <w:rFonts w:eastAsia="Arial" w:cs="Arial" w:ascii="Arial" w:hAnsi="Arial"/>
                <w:color w:val="000000"/>
                <w:position w:val="0"/>
                <w:sz w:val="20"/>
                <w:sz w:val="20"/>
                <w:szCs w:val="20"/>
                <w:vertAlign w:val="baseline"/>
              </w:rPr>
              <w:t>Atenção! O que se prorroga automaticamente nos contratos de escopo é o prazo de vigência. A prorrogação do prazo de execução não segue a mesma lógica.</w:t>
            </w:r>
          </w:p>
          <w:p>
            <w:pPr>
              <w:pStyle w:val="Normal1"/>
              <w:shd w:val="clear" w:fill="FFFF0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00"/>
              <w:jc w:val="both"/>
              <w:rPr>
                <w:rFonts w:ascii="Arial" w:hAnsi="Arial" w:eastAsia="Arial" w:cs="Arial"/>
                <w:color w:val="000000"/>
                <w:position w:val="0"/>
                <w:sz w:val="20"/>
                <w:sz w:val="20"/>
                <w:szCs w:val="20"/>
                <w:highlight w:val="darkYellow"/>
                <w:vertAlign w:val="baseline"/>
              </w:rPr>
            </w:pPr>
            <w:r>
              <w:rPr>
                <w:rFonts w:eastAsia="Arial" w:cs="Arial" w:ascii="Arial" w:hAnsi="Arial"/>
                <w:b/>
                <w:color w:val="000000"/>
                <w:position w:val="0"/>
                <w:sz w:val="20"/>
                <w:sz w:val="20"/>
                <w:szCs w:val="20"/>
                <w:vertAlign w:val="baseline"/>
              </w:rPr>
              <w:t>Prazo de execução do contrato - prazo estipulado no contrato administrativo para a execução e entrega do objeto contratado;</w:t>
            </w:r>
          </w:p>
          <w:p>
            <w:pPr>
              <w:pStyle w:val="Normal1"/>
              <w:shd w:val="clear" w:fill="FFFF00"/>
              <w:jc w:val="both"/>
              <w:rPr>
                <w:rFonts w:ascii="Arial" w:hAnsi="Arial" w:eastAsia="Arial" w:cs="Arial"/>
                <w:color w:val="000000"/>
                <w:position w:val="0"/>
                <w:sz w:val="20"/>
                <w:sz w:val="20"/>
                <w:szCs w:val="20"/>
                <w:highlight w:val="darkYellow"/>
                <w:vertAlign w:val="baseline"/>
              </w:rPr>
            </w:pPr>
            <w:r>
              <w:rPr>
                <w:rFonts w:eastAsia="Arial" w:cs="Arial" w:ascii="Arial" w:hAnsi="Arial"/>
                <w:color w:val="000000"/>
                <w:position w:val="0"/>
                <w:sz w:val="20"/>
                <w:sz w:val="20"/>
                <w:szCs w:val="20"/>
                <w:highlight w:val="darkYellow"/>
                <w:vertAlign w:val="baseline"/>
              </w:rPr>
            </w:r>
          </w:p>
          <w:p>
            <w:pPr>
              <w:pStyle w:val="Normal1"/>
              <w:shd w:val="clear" w:fill="FFFF00"/>
              <w:jc w:val="both"/>
              <w:rPr>
                <w:color w:val="000000"/>
                <w:position w:val="0"/>
                <w:sz w:val="20"/>
                <w:sz w:val="20"/>
                <w:szCs w:val="20"/>
                <w:vertAlign w:val="baseline"/>
              </w:rPr>
            </w:pPr>
            <w:r>
              <w:rPr>
                <w:rFonts w:eastAsia="Arial" w:cs="Arial" w:ascii="Arial" w:hAnsi="Arial"/>
                <w:b/>
                <w:color w:val="000000"/>
                <w:position w:val="0"/>
                <w:sz w:val="20"/>
                <w:sz w:val="20"/>
                <w:szCs w:val="20"/>
                <w:vertAlign w:val="baseline"/>
              </w:rPr>
              <w:t>Atenção ao disposto no art. 464 do Decreto n.º 10.086/2022:</w:t>
            </w:r>
          </w:p>
          <w:p>
            <w:pPr>
              <w:pStyle w:val="Normal1"/>
              <w:keepNext w:val="tru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Art. 464. O prazo de execução de obra e serviços de engenharia deverá ser estipulado de acordo com a complexidade e dimensão do projeto e justificado nos autos do processo da contratação.</w:t>
            </w:r>
          </w:p>
          <w:p>
            <w:pPr>
              <w:pStyle w:val="Normal1"/>
              <w:keepNext w:val="tru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1º O termo final da vigência do contrato para obras e serviços de engenharia e/ou arquitetura deverá ser o do prazo de execução acrescido de período estabelecido em edital e/ou contrato administrativo.</w:t>
            </w:r>
          </w:p>
          <w:p>
            <w:pPr>
              <w:pStyle w:val="Normal1"/>
              <w:keepNext w:val="tru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2º É indispensável a fixação dos limites de vigência dos contratos administrativos, de forma que o tempo não comprometa as condições originais da avença, podendo ser devolvido o prazo quando a Administração mesma concorrer, em virtude da própria natureza do avençado, para interrupção da sua execução pelo contratante.</w:t>
            </w:r>
          </w:p>
          <w:p>
            <w:pPr>
              <w:pStyle w:val="Normal1"/>
              <w:keepNext w:val="tru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3º Toda solicitação de prorrogação de prazo de execução deverá ser efetivada no período de execução do contrato, bem como toda solicitação de prorrogação da vigência contratual deverá ser efetivada durante sua vigência, previamente autorizada pelo contratante, em ambos os casos.</w:t>
            </w:r>
          </w:p>
          <w:p>
            <w:pPr>
              <w:pStyle w:val="Normal1"/>
              <w:keepNext w:val="tru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CE181E"/>
                <w:position w:val="0"/>
                <w:sz w:val="20"/>
                <w:sz w:val="20"/>
                <w:szCs w:val="20"/>
                <w:highlight w:val="dark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4º o prazo de vigência será automaticamente prorrogado quando seu objeto não for concluído no período firmado no contrato, nos termos do art. 111 da Lei Federal nº 14.133, de 2021.</w:t>
            </w:r>
          </w:p>
          <w:p>
            <w:pPr>
              <w:pStyle w:val="Normal1"/>
              <w:shd w:val="clear" w:fill="FFFF00"/>
              <w:jc w:val="both"/>
              <w:rPr>
                <w:rFonts w:ascii="Arial" w:hAnsi="Arial" w:eastAsia="Arial" w:cs="Arial"/>
                <w:color w:val="CE181E"/>
                <w:position w:val="0"/>
                <w:sz w:val="20"/>
                <w:sz w:val="20"/>
                <w:szCs w:val="20"/>
                <w:highlight w:val="darkYellow"/>
                <w:vertAlign w:val="baseline"/>
              </w:rPr>
            </w:pPr>
            <w:r>
              <w:rPr>
                <w:rFonts w:eastAsia="Arial" w:cs="Arial" w:ascii="Arial" w:hAnsi="Arial"/>
                <w:color w:val="CE181E"/>
                <w:position w:val="0"/>
                <w:sz w:val="20"/>
                <w:sz w:val="20"/>
                <w:szCs w:val="20"/>
                <w:highlight w:val="darkYellow"/>
                <w:vertAlign w:val="baseline"/>
              </w:rPr>
            </w:r>
          </w:p>
        </w:tc>
      </w:tr>
    </w:tbl>
    <w:p>
      <w:pPr>
        <w:pStyle w:val="Normal1"/>
        <w:widowControl w:val="false"/>
        <w:spacing w:lineRule="auto" w:line="240" w:before="57" w:after="0"/>
        <w:jc w:val="both"/>
        <w:rPr>
          <w:position w:val="0"/>
          <w:sz w:val="24"/>
          <w:sz w:val="24"/>
          <w:highlight w:val="yellow"/>
          <w:vertAlign w:val="baseline"/>
        </w:rPr>
      </w:pPr>
      <w:r>
        <w:rPr>
          <w:position w:val="0"/>
          <w:sz w:val="24"/>
          <w:sz w:val="24"/>
          <w:highlight w:val="yellow"/>
          <w:vertAlign w:val="baseline"/>
        </w:rPr>
      </w:r>
    </w:p>
    <w:p>
      <w:pPr>
        <w:pStyle w:val="Normal1"/>
        <w:widowControl w:val="false"/>
        <w:tabs>
          <w:tab w:val="clear" w:pos="720"/>
          <w:tab w:val="left" w:pos="0" w:leader="none"/>
        </w:tabs>
        <w:spacing w:lineRule="auto" w:line="240" w:before="57" w:after="0"/>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6. CLÁUSULA SEXTA – DOS CONTROLES DE EXECUÇÃO</w:t>
      </w:r>
    </w:p>
    <w:p>
      <w:pPr>
        <w:pStyle w:val="Normal1"/>
        <w:widowControl w:val="false"/>
        <w:tabs>
          <w:tab w:val="clear" w:pos="720"/>
          <w:tab w:val="left" w:pos="-7200"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position w:val="0"/>
          <w:sz w:val="20"/>
          <w:sz w:val="20"/>
          <w:szCs w:val="20"/>
          <w:vertAlign w:val="baseline"/>
        </w:rPr>
        <w:t>6.1</w:t>
      </w:r>
      <w:r>
        <w:rPr>
          <w:rFonts w:eastAsia="Arial" w:cs="Arial" w:ascii="Arial" w:hAnsi="Arial"/>
          <w:position w:val="0"/>
          <w:sz w:val="20"/>
          <w:sz w:val="20"/>
          <w:szCs w:val="20"/>
          <w:vertAlign w:val="baseline"/>
        </w:rPr>
        <w:t xml:space="preserve"> O </w:t>
      </w:r>
      <w:r>
        <w:rPr>
          <w:rFonts w:eastAsia="Arial" w:cs="Arial" w:ascii="Arial" w:hAnsi="Arial"/>
          <w:smallCaps/>
          <w:position w:val="0"/>
          <w:sz w:val="20"/>
          <w:sz w:val="20"/>
          <w:szCs w:val="20"/>
          <w:vertAlign w:val="baseline"/>
        </w:rPr>
        <w:t>CONTRATANTE</w:t>
      </w:r>
      <w:r>
        <w:rPr>
          <w:rFonts w:eastAsia="Arial" w:cs="Arial" w:ascii="Arial" w:hAnsi="Arial"/>
          <w:position w:val="0"/>
          <w:sz w:val="20"/>
          <w:sz w:val="20"/>
          <w:szCs w:val="20"/>
          <w:vertAlign w:val="baseline"/>
        </w:rPr>
        <w:t xml:space="preserve"> fiscalizará por seus agentes, com a possibilidade de auxílio de terceiros, a execução das obras e serviços, a fim de garantir integral cumprimento e observância das normas técnico-administrativo-legais regentes dos contratos firmados.</w:t>
      </w:r>
    </w:p>
    <w:p>
      <w:pPr>
        <w:pStyle w:val="Normal1"/>
        <w:spacing w:lineRule="auto" w:line="240" w:before="57" w:after="57"/>
        <w:ind w:hanging="0" w:left="27"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6.1.1.</w:t>
      </w:r>
      <w:r>
        <w:rPr>
          <w:rFonts w:eastAsia="Arial" w:cs="Arial" w:ascii="Arial" w:hAnsi="Arial"/>
          <w:color w:val="000000"/>
          <w:position w:val="0"/>
          <w:sz w:val="20"/>
          <w:sz w:val="20"/>
          <w:szCs w:val="20"/>
          <w:highlight w:val="white"/>
          <w:vertAlign w:val="baseline"/>
        </w:rPr>
        <w:t xml:space="preserve"> A responsabilidade pela gestão deste contrato caberá ao(à) servidor(a) ou comissão designados, conforme item</w:t>
      </w:r>
      <w:r>
        <w:rPr>
          <w:rFonts w:eastAsia="Arial" w:cs="Arial" w:ascii="Arial" w:hAnsi="Arial"/>
          <w:color w:val="000000"/>
          <w:position w:val="0"/>
          <w:sz w:val="20"/>
          <w:sz w:val="20"/>
          <w:szCs w:val="20"/>
          <w:vertAlign w:val="baseline"/>
        </w:rPr>
        <w:t xml:space="preserve"> 6.1.3 deste Contrato, o(a) qual será responsável pelas atribuições definidas no art. 10 do Decreto n.º 10.086, de 2022.</w:t>
      </w:r>
    </w:p>
    <w:p>
      <w:pPr>
        <w:pStyle w:val="Normal1"/>
        <w:spacing w:lineRule="auto" w:line="240" w:before="57" w:after="57"/>
        <w:ind w:hanging="0" w:left="27"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6.1.2 </w:t>
      </w:r>
      <w:r>
        <w:rPr>
          <w:rFonts w:eastAsia="Arial" w:cs="Arial" w:ascii="Arial" w:hAnsi="Arial"/>
          <w:color w:val="000000"/>
          <w:position w:val="0"/>
          <w:sz w:val="20"/>
          <w:sz w:val="20"/>
          <w:szCs w:val="20"/>
          <w:vertAlign w:val="baseline"/>
        </w:rPr>
        <w:t>A responsabilidade pela fiscalização deste contrato caberá ao(à) servidor(a) ou comissão designados, conforme o item 6.1.3 deste, o(a) qual será responsável pelas atribuições definidas nos arts. 11 e 12 do Decreto n.º 10.086, de 2</w:t>
      </w:r>
      <w:r>
        <w:rPr>
          <w:rFonts w:eastAsia="Arial" w:cs="Arial" w:ascii="Arial" w:hAnsi="Arial"/>
          <w:color w:val="000000"/>
          <w:position w:val="0"/>
          <w:sz w:val="20"/>
          <w:sz w:val="20"/>
          <w:szCs w:val="20"/>
          <w:highlight w:val="white"/>
          <w:vertAlign w:val="baseline"/>
        </w:rPr>
        <w:t>022.</w:t>
      </w:r>
    </w:p>
    <w:p>
      <w:pPr>
        <w:pStyle w:val="Normal1"/>
        <w:spacing w:lineRule="auto" w:line="240" w:before="57" w:after="57"/>
        <w:ind w:hanging="0" w:left="27"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6.1.3</w:t>
      </w:r>
      <w:r>
        <w:rPr>
          <w:rFonts w:eastAsia="Arial" w:cs="Arial" w:ascii="Arial" w:hAnsi="Arial"/>
          <w:color w:val="000000"/>
          <w:position w:val="0"/>
          <w:sz w:val="20"/>
          <w:sz w:val="20"/>
          <w:szCs w:val="20"/>
          <w:highlight w:val="white"/>
          <w:vertAlign w:val="baseline"/>
        </w:rPr>
        <w:t xml:space="preserve"> Os responsáveis pela gestão e fiscalização do contrato serão designados por ato administrativo próprio do Contratante.</w:t>
      </w:r>
    </w:p>
    <w:p>
      <w:pPr>
        <w:pStyle w:val="Normal1"/>
        <w:widowControl w:val="false"/>
        <w:spacing w:lineRule="auto" w:line="240" w:before="57" w:after="57"/>
        <w:ind w:hanging="0" w:left="27" w:right="0"/>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highlight w:val="white"/>
          <w:vertAlign w:val="baseline"/>
        </w:rPr>
        <w:t>6.1.4.</w:t>
      </w:r>
      <w:r>
        <w:rPr>
          <w:rFonts w:eastAsia="Arial" w:cs="Arial" w:ascii="Arial" w:hAnsi="Arial"/>
          <w:color w:val="000000"/>
          <w:position w:val="0"/>
          <w:sz w:val="20"/>
          <w:sz w:val="20"/>
          <w:szCs w:val="20"/>
          <w:highlight w:val="white"/>
          <w:vertAlign w:val="baseline"/>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pPr>
        <w:pStyle w:val="Normal1"/>
        <w:widowControl w:val="false"/>
        <w:tabs>
          <w:tab w:val="clear" w:pos="720"/>
          <w:tab w:val="left" w:pos="-7200" w:leader="none"/>
        </w:tabs>
        <w:spacing w:lineRule="auto" w:line="240" w:before="57" w:after="0"/>
        <w:jc w:val="both"/>
        <w:rPr>
          <w:position w:val="0"/>
          <w:sz w:val="24"/>
          <w:sz w:val="24"/>
          <w:vertAlign w:val="baseline"/>
        </w:rPr>
      </w:pPr>
      <w:r>
        <w:rPr>
          <w:rFonts w:eastAsia="Arial" w:cs="Arial" w:ascii="Arial" w:hAnsi="Arial"/>
          <w:b/>
          <w:position w:val="0"/>
          <w:sz w:val="20"/>
          <w:sz w:val="20"/>
          <w:szCs w:val="20"/>
          <w:vertAlign w:val="baseline"/>
        </w:rPr>
        <w:t>6.2.</w:t>
      </w:r>
      <w:r>
        <w:rPr>
          <w:rFonts w:eastAsia="Arial" w:cs="Arial" w:ascii="Arial" w:hAnsi="Arial"/>
          <w:position w:val="0"/>
          <w:sz w:val="20"/>
          <w:sz w:val="20"/>
          <w:szCs w:val="20"/>
          <w:vertAlign w:val="baseline"/>
        </w:rPr>
        <w:t xml:space="preserve"> Para efeito de medição e de faturamento, relativo aos serviços executados, deverá ser considerado o cumprimento do avanço das etapas construtivas definidas no cronograma físico-financeiro, que será peça integrante do contrato.</w:t>
      </w:r>
    </w:p>
    <w:p>
      <w:pPr>
        <w:pStyle w:val="Normal1"/>
        <w:widowControl w:val="false"/>
        <w:tabs>
          <w:tab w:val="clear" w:pos="720"/>
          <w:tab w:val="left" w:pos="-6917" w:leader="none"/>
        </w:tabs>
        <w:spacing w:lineRule="auto" w:line="240" w:before="57" w:after="0"/>
        <w:ind w:hanging="0" w:left="283" w:right="0"/>
        <w:rPr>
          <w:position w:val="0"/>
          <w:sz w:val="24"/>
          <w:sz w:val="24"/>
          <w:vertAlign w:val="baseline"/>
        </w:rPr>
      </w:pPr>
      <w:r>
        <w:rPr>
          <w:position w:val="0"/>
          <w:sz w:val="24"/>
          <w:sz w:val="24"/>
          <w:vertAlign w:val="baseline"/>
        </w:rPr>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28</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color w:val="000000"/>
          <w:position w:val="0"/>
          <w:sz w:val="20"/>
          <w:sz w:val="20"/>
          <w:szCs w:val="20"/>
          <w:highlight w:val="yellow"/>
          <w:vertAlign w:val="baseline"/>
        </w:rPr>
      </w:pPr>
      <w:r>
        <w:rPr>
          <w:rFonts w:eastAsia="Arial" w:cs="Arial" w:ascii="Arial" w:hAnsi="Arial"/>
          <w:b/>
          <w:position w:val="0"/>
          <w:sz w:val="20"/>
          <w:sz w:val="20"/>
          <w:szCs w:val="20"/>
          <w:vertAlign w:val="baseline"/>
        </w:rPr>
        <w:t>(Obs. As notas explicativas são meramente orientativas. Portanto, devem ser excluídas do edital a ser publicado)</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color w:val="000000"/>
          <w:position w:val="0"/>
          <w:sz w:val="20"/>
          <w:sz w:val="20"/>
          <w:szCs w:val="20"/>
          <w:highlight w:val="yellow"/>
          <w:vertAlign w:val="baseline"/>
        </w:rPr>
        <w:t>No caso de adoção de um dos seguintes Regime de Empreitada: empreitada por preço global, contratação por tarefa, empreitada integral, contratação integrada, contratação semi-integrada, a redação do item 6.2.1 deverá ser a seguinte:</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6.2.1.</w:t>
      </w:r>
      <w:r>
        <w:rPr>
          <w:rFonts w:eastAsia="Arial" w:cs="Arial" w:ascii="Arial" w:hAnsi="Arial"/>
          <w:color w:val="000000"/>
          <w:position w:val="0"/>
          <w:sz w:val="20"/>
          <w:sz w:val="20"/>
          <w:szCs w:val="20"/>
          <w:vertAlign w:val="baseline"/>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jc w:val="both"/>
        <w:rPr>
          <w:rFonts w:ascii="Arial" w:hAnsi="Arial" w:eastAsia="Arial" w:cs="Arial"/>
          <w:color w:val="000000"/>
          <w:position w:val="0"/>
          <w:sz w:val="20"/>
          <w:sz w:val="20"/>
          <w:szCs w:val="20"/>
          <w:highlight w:val="yellow"/>
          <w:vertAlign w:val="baseline"/>
        </w:rPr>
      </w:pPr>
      <w:r>
        <w:rPr>
          <w:rFonts w:eastAsia="Arial" w:cs="Arial" w:ascii="Arial" w:hAnsi="Arial"/>
          <w:b/>
          <w:color w:val="000000"/>
          <w:position w:val="0"/>
          <w:sz w:val="20"/>
          <w:sz w:val="20"/>
          <w:szCs w:val="20"/>
          <w:vertAlign w:val="baseline"/>
        </w:rPr>
        <w:t>6.2.2</w:t>
      </w:r>
      <w:r>
        <w:rPr>
          <w:rFonts w:eastAsia="Arial" w:cs="Arial" w:ascii="Arial" w:hAnsi="Arial"/>
          <w:color w:val="000000"/>
          <w:position w:val="0"/>
          <w:sz w:val="20"/>
          <w:sz w:val="20"/>
          <w:szCs w:val="20"/>
          <w:vertAlign w:val="baseline"/>
        </w:rPr>
        <w:t xml:space="preserve"> O cronograma inicial é ilustrado por representação gráfica conforme modelo adotado pelo CONTRATANTE.</w:t>
      </w:r>
    </w:p>
    <w:p>
      <w:pPr>
        <w:pStyle w:val="Normal1"/>
        <w:widowControl w:val="false"/>
        <w:tabs>
          <w:tab w:val="clear" w:pos="720"/>
          <w:tab w:val="left" w:pos="1080" w:leader="none"/>
        </w:tabs>
        <w:spacing w:lineRule="auto" w:line="240" w:before="57" w:after="0"/>
        <w:ind w:hanging="0" w:left="1080" w:right="0"/>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29</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b/>
          <w:position w:val="0"/>
          <w:sz w:val="20"/>
          <w:sz w:val="20"/>
          <w:szCs w:val="20"/>
          <w:vertAlign w:val="baseline"/>
        </w:rPr>
        <w:t>(Obs. As notas explicativas são meramente orientativas. Portanto, devem ser excluídas do edital a ser publicado)</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color w:val="000000"/>
          <w:position w:val="0"/>
          <w:sz w:val="20"/>
          <w:sz w:val="20"/>
          <w:szCs w:val="20"/>
          <w:vertAlign w:val="baseline"/>
        </w:rPr>
        <w:t>Se for adotado o Regime de Empreitada por Preço Unitário deve ser utilizada a seguinte redação:</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6.2.1.</w:t>
      </w:r>
      <w:r>
        <w:rPr>
          <w:rFonts w:eastAsia="Arial" w:cs="Arial" w:ascii="Arial" w:hAnsi="Arial"/>
          <w:color w:val="000000"/>
          <w:position w:val="0"/>
          <w:sz w:val="20"/>
          <w:sz w:val="20"/>
          <w:szCs w:val="20"/>
          <w:vertAlign w:val="baseline"/>
        </w:rPr>
        <w:t xml:space="preserve"> A sistemática de medição e pagamento será a de remuneração orientada por preços unitários ou referenciada pela execução de quantidades de itens unitários, de modo que seja realizada em função das unidades de serviços efetivamente executadas, mediante cálculo aritmético de multiplicação das quantidades executadas pelos seus respectivos preços unitários, previamente definidos na planilha de serviços.</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6.2.2</w:t>
      </w:r>
      <w:r>
        <w:rPr>
          <w:rFonts w:eastAsia="Arial" w:cs="Arial" w:ascii="Arial" w:hAnsi="Arial"/>
          <w:color w:val="000000"/>
          <w:position w:val="0"/>
          <w:sz w:val="20"/>
          <w:sz w:val="20"/>
          <w:szCs w:val="20"/>
          <w:vertAlign w:val="baseline"/>
        </w:rPr>
        <w:t>. Nos contratos por regime de preços unitários prevalecerão as quantidades reais, devendo as quantidades de serviços serem suprimidos ou acrescidas conforme tenham sido estimadas a maior ou a menor na planilha de serviços.</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widowControl w:val="false"/>
        <w:tabs>
          <w:tab w:val="clear" w:pos="720"/>
          <w:tab w:val="left" w:pos="-10517" w:leader="none"/>
        </w:tabs>
        <w:spacing w:lineRule="auto" w:line="240" w:before="57" w:after="57"/>
        <w:ind w:hanging="0" w:left="283" w:right="0"/>
        <w:rPr>
          <w:position w:val="0"/>
          <w:sz w:val="24"/>
          <w:sz w:val="24"/>
          <w:vertAlign w:val="baseline"/>
        </w:rPr>
      </w:pPr>
      <w:r>
        <w:rPr>
          <w:rFonts w:eastAsia="Arial" w:cs="Arial" w:ascii="Arial" w:hAnsi="Arial"/>
          <w:b/>
          <w:position w:val="0"/>
          <w:sz w:val="20"/>
          <w:sz w:val="20"/>
          <w:szCs w:val="20"/>
          <w:vertAlign w:val="baseline"/>
        </w:rPr>
        <w:t>6.2.3</w:t>
      </w:r>
      <w:r>
        <w:rPr>
          <w:rFonts w:eastAsia="Arial" w:cs="Arial" w:ascii="Arial" w:hAnsi="Arial"/>
          <w:position w:val="0"/>
          <w:sz w:val="20"/>
          <w:sz w:val="20"/>
          <w:szCs w:val="20"/>
          <w:vertAlign w:val="baseline"/>
        </w:rPr>
        <w:t>. O cronograma físico-financeiro prevê parcelas a cada 30 (trinta) dias, mantendo coerência técnica a com a real execução dos serviços relativos a cada parcela.</w:t>
      </w:r>
    </w:p>
    <w:p>
      <w:pPr>
        <w:pStyle w:val="Normal1"/>
        <w:widowControl w:val="false"/>
        <w:tabs>
          <w:tab w:val="clear" w:pos="720"/>
          <w:tab w:val="left" w:pos="-10517" w:leader="none"/>
        </w:tabs>
        <w:spacing w:lineRule="auto" w:line="240" w:before="57" w:after="57"/>
        <w:ind w:hanging="0" w:left="283" w:right="0"/>
        <w:rPr>
          <w:position w:val="0"/>
          <w:sz w:val="24"/>
          <w:sz w:val="24"/>
          <w:vertAlign w:val="baseline"/>
        </w:rPr>
      </w:pPr>
      <w:r>
        <w:rPr>
          <w:position w:val="0"/>
          <w:sz w:val="24"/>
          <w:sz w:val="24"/>
          <w:vertAlign w:val="baseline"/>
        </w:rPr>
      </w:r>
    </w:p>
    <w:tbl>
      <w:tblPr>
        <w:tblStyle w:val="Table45"/>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30</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0"/>
                <w:sz w:val="20"/>
                <w:szCs w:val="20"/>
                <w:highlight w:val="yellow"/>
                <w:vertAlign w:val="baseline"/>
              </w:rPr>
              <w:t>O cronograma poderá prever prazo menor para a primeira, para a última parcela e para casos especiais autorizados pela autoridade competente.</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6.2.4</w:t>
      </w:r>
      <w:r>
        <w:rPr>
          <w:rFonts w:eastAsia="Arial" w:cs="Arial" w:ascii="Arial" w:hAnsi="Arial"/>
          <w:position w:val="0"/>
          <w:sz w:val="20"/>
          <w:sz w:val="20"/>
          <w:szCs w:val="20"/>
          <w:vertAlign w:val="baseline"/>
        </w:rPr>
        <w:t>.O cronograma físico-financeiro referencial do planejamento adequado da obra será estabelecido pelo CONTRATANTE, podendo o CONTRATADO adequá-lo, sujeito à aprovação do CONTRATANTE.</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6.2.5</w:t>
      </w:r>
      <w:r>
        <w:rPr>
          <w:rFonts w:eastAsia="Arial" w:cs="Arial" w:ascii="Arial" w:hAnsi="Arial"/>
          <w:position w:val="0"/>
          <w:sz w:val="20"/>
          <w:sz w:val="20"/>
          <w:szCs w:val="20"/>
          <w:vertAlign w:val="baseline"/>
        </w:rPr>
        <w:t>.O CONTRATANTE poderá determinar alterações, de forma motivada, no cronograma físico-financeiro mediante autorização expressa de sua autoridade competente.</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6.2.6</w:t>
      </w:r>
      <w:r>
        <w:rPr>
          <w:rFonts w:eastAsia="Arial" w:cs="Arial" w:ascii="Arial" w:hAnsi="Arial"/>
          <w:position w:val="0"/>
          <w:sz w:val="20"/>
          <w:sz w:val="20"/>
          <w:szCs w:val="20"/>
          <w:vertAlign w:val="baseline"/>
        </w:rPr>
        <w:t>.A revisão do cronograma físico-financeiro, quando necessária, constitui responsabilidade do CONTRATADO, cabendo ao CONTRATANTE autorizar a sua readequação, desde que motivada e justificada por fatos supervenientes não imputáveis ao CONTRATADO.</w:t>
      </w:r>
    </w:p>
    <w:p>
      <w:pPr>
        <w:pStyle w:val="Normal1"/>
        <w:widowControl w:val="false"/>
        <w:tabs>
          <w:tab w:val="clear" w:pos="720"/>
          <w:tab w:val="left" w:pos="283"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6.2.7</w:t>
      </w:r>
      <w:r>
        <w:rPr>
          <w:rFonts w:eastAsia="Arial" w:cs="Arial" w:ascii="Arial" w:hAnsi="Arial"/>
          <w:position w:val="0"/>
          <w:sz w:val="20"/>
          <w:sz w:val="20"/>
          <w:szCs w:val="20"/>
          <w:vertAlign w:val="baseline"/>
        </w:rPr>
        <w:t>. Em caso de alterações na ordem de execução dos serviços constantes da planilha, de forma que o valor da etapa objeto da medição não ultrapasse aquele já estabelecido no cronograma físico-financeiro vigente para a referida etapa, mediante parecer favorável do fiscal do serviço, o cronograma físico-financeiro poderá ser readequado, por meio de simples apostila a ser anexada a este Contrato.</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6.3</w:t>
      </w:r>
      <w:r>
        <w:rPr>
          <w:rFonts w:eastAsia="Arial" w:cs="Arial" w:ascii="Arial" w:hAnsi="Arial"/>
          <w:position w:val="0"/>
          <w:sz w:val="20"/>
          <w:sz w:val="20"/>
          <w:szCs w:val="20"/>
          <w:vertAlign w:val="baseline"/>
        </w:rPr>
        <w:t xml:space="preserve"> A solicitação de aditivo de prazo de execução, suspensão do contrato, assim como de acréscimos ou supressões de serviços deverá ser realizada no prazo de execução do contrato; e aditivo à vigência contratual deverá ser solicitado durante a vigência do contrato, aplicando-se ao art. 111 da Lei nº 14.133/2021 e art. 410 do Decreto Estadual nº 10.086/2022 quando a </w:t>
      </w:r>
      <w:r>
        <w:rPr>
          <w:rFonts w:eastAsia="Arial" w:cs="Arial" w:ascii="Arial" w:hAnsi="Arial"/>
          <w:color w:val="000000"/>
          <w:position w:val="0"/>
          <w:sz w:val="20"/>
          <w:sz w:val="20"/>
          <w:szCs w:val="20"/>
          <w:vertAlign w:val="baseline"/>
        </w:rPr>
        <w:t>contratação previr a conclusão de escopo predefinido.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6.3.1. </w:t>
      </w:r>
      <w:r>
        <w:rPr>
          <w:rFonts w:eastAsia="Arial" w:cs="Arial" w:ascii="Arial" w:hAnsi="Arial"/>
          <w:position w:val="0"/>
          <w:sz w:val="20"/>
          <w:sz w:val="20"/>
          <w:szCs w:val="20"/>
          <w:vertAlign w:val="baseline"/>
        </w:rPr>
        <w:t>As solicitações de aditivos devem vir acompanhadas de parecer técnico conclusivo emitido pela fiscalização, analisadas pelo gestor do contrato e previamente autorizadas pelo representante legal do CONTRATANTE.</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6.3.2. </w:t>
      </w:r>
      <w:r>
        <w:rPr>
          <w:rFonts w:eastAsia="Arial" w:cs="Arial" w:ascii="Arial" w:hAnsi="Arial"/>
          <w:position w:val="0"/>
          <w:sz w:val="20"/>
          <w:sz w:val="20"/>
          <w:szCs w:val="20"/>
          <w:vertAlign w:val="baseline"/>
        </w:rPr>
        <w:t>Os acréscimos e supressões de serviços quantificados, a serem formalizados por termo aditivo, deverão ser planilhados com a indicação dos serviços a serem suprimidos e serviços a serem acrescidos, na forma do subitem 6.4.3 e do item 17.6 e seus subitens deste Contrato sujeita à aprovação da autoridade competente do CONTRATANTE, após análise do gestor do contrato.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6.3.3</w:t>
      </w:r>
      <w:r>
        <w:rPr>
          <w:rFonts w:eastAsia="Arial" w:cs="Arial" w:ascii="Arial" w:hAnsi="Arial"/>
          <w:position w:val="0"/>
          <w:sz w:val="20"/>
          <w:sz w:val="20"/>
          <w:szCs w:val="20"/>
          <w:vertAlign w:val="baseline"/>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pPr>
        <w:pStyle w:val="Normal1"/>
        <w:widowControl w:val="false"/>
        <w:tabs>
          <w:tab w:val="clear" w:pos="720"/>
          <w:tab w:val="left" w:pos="-720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46"/>
        <w:tblW w:w="9082" w:type="dxa"/>
        <w:jc w:val="left"/>
        <w:tblInd w:w="-55" w:type="dxa"/>
        <w:tblLayout w:type="fixed"/>
        <w:tblCellMar>
          <w:top w:w="0" w:type="dxa"/>
          <w:left w:w="108" w:type="dxa"/>
          <w:bottom w:w="0" w:type="dxa"/>
          <w:right w:w="108" w:type="dxa"/>
        </w:tblCellMar>
        <w:tblLook w:val="0000"/>
      </w:tblPr>
      <w:tblGrid>
        <w:gridCol w:w="9082"/>
      </w:tblGrid>
      <w:tr>
        <w:trPr/>
        <w:tc>
          <w:tcPr>
            <w:tcW w:w="9082"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31</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0"/>
                <w:sz w:val="20"/>
                <w:szCs w:val="20"/>
                <w:highlight w:val="yellow"/>
                <w:vertAlign w:val="baseline"/>
              </w:rPr>
              <w:t xml:space="preserve">O item </w:t>
            </w:r>
            <w:r>
              <w:rPr>
                <w:rFonts w:eastAsia="Arial" w:cs="Arial" w:ascii="Arial" w:hAnsi="Arial"/>
                <w:b/>
                <w:position w:val="0"/>
                <w:sz w:val="20"/>
                <w:sz w:val="20"/>
                <w:szCs w:val="20"/>
                <w:highlight w:val="yellow"/>
                <w:vertAlign w:val="baseline"/>
              </w:rPr>
              <w:t>6.4</w:t>
            </w:r>
            <w:r>
              <w:rPr>
                <w:rFonts w:eastAsia="Arial" w:cs="Arial" w:ascii="Arial" w:hAnsi="Arial"/>
                <w:position w:val="0"/>
                <w:sz w:val="20"/>
                <w:sz w:val="20"/>
                <w:szCs w:val="20"/>
                <w:highlight w:val="yellow"/>
                <w:vertAlign w:val="baseline"/>
              </w:rPr>
              <w:t xml:space="preserve"> a seguir e seus subitens só devem constar no contrato se o regime de empreitada for Por Preço Global:</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widowControl w:val="false"/>
              <w:shd w:val="clear" w:fill="FFFF00"/>
              <w:tabs>
                <w:tab w:val="clear" w:pos="720"/>
                <w:tab w:val="left" w:pos="-7200" w:leader="none"/>
              </w:tabs>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6.4</w:t>
            </w:r>
            <w:r>
              <w:rPr>
                <w:rFonts w:eastAsia="Arial" w:cs="Arial" w:ascii="Arial" w:hAnsi="Arial"/>
                <w:position w:val="0"/>
                <w:sz w:val="20"/>
                <w:sz w:val="20"/>
                <w:szCs w:val="20"/>
                <w:vertAlign w:val="baseline"/>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pPr>
              <w:pStyle w:val="Normal1"/>
              <w:widowControl w:val="false"/>
              <w:shd w:val="clear" w:fill="FFFF00"/>
              <w:tabs>
                <w:tab w:val="clear" w:pos="720"/>
                <w:tab w:val="left" w:pos="-10800" w:leader="none"/>
              </w:tabs>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6.4.1.</w:t>
            </w:r>
            <w:r>
              <w:rPr>
                <w:rFonts w:eastAsia="Arial" w:cs="Arial" w:ascii="Arial" w:hAnsi="Arial"/>
                <w:position w:val="0"/>
                <w:sz w:val="20"/>
                <w:sz w:val="20"/>
                <w:szCs w:val="20"/>
                <w:vertAlign w:val="baseline"/>
              </w:rPr>
              <w:t xml:space="preserve"> Nos casos em que forem encontrados erros de pequena relevância, relativos a pequenas variações de quantitativos em seus serviços, será pago exatamente o preço global acordado;</w:t>
            </w:r>
          </w:p>
          <w:p>
            <w:pPr>
              <w:pStyle w:val="Normal1"/>
              <w:widowControl w:val="false"/>
              <w:shd w:val="clear" w:fill="FFFF00"/>
              <w:tabs>
                <w:tab w:val="clear" w:pos="720"/>
                <w:tab w:val="left" w:pos="-10800"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6.4.2.</w:t>
            </w:r>
            <w:r>
              <w:rPr>
                <w:rFonts w:eastAsia="Arial" w:cs="Arial" w:ascii="Arial" w:hAnsi="Arial"/>
                <w:position w:val="0"/>
                <w:sz w:val="20"/>
                <w:sz w:val="20"/>
                <w:szCs w:val="20"/>
                <w:vertAlign w:val="baseline"/>
              </w:rPr>
              <w:t xml:space="preserve"> Nos casos em que forem encontrados erros ou omissões substanciais, subestimativas ou superestimativas relevantes, poderão ser ajustados termos aditivos excepcionalmente, desde que os seguintes requisitos sejam atendidos cumulativamente:</w:t>
            </w:r>
          </w:p>
          <w:p>
            <w:pPr>
              <w:pStyle w:val="Normal1"/>
              <w:shd w:val="clear" w:fill="FFFF00"/>
              <w:spacing w:lineRule="auto" w:line="240" w:before="57" w:after="0"/>
              <w:ind w:hanging="0" w:left="1134"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somente serão considerados como erros substanciais ou relevantes e objetos de revisão, os serviços de materialidade relevante na curva ABC do orçamento, compreendidos dentro da Faixa A e Faixa B, cuja somatória acumulada dos custos representa 80% (oitenta por cento) do custo total;</w:t>
            </w:r>
          </w:p>
          <w:p>
            <w:pPr>
              <w:pStyle w:val="Normal1"/>
              <w:shd w:val="clear" w:fill="FFFF00"/>
              <w:spacing w:lineRule="auto" w:line="240" w:before="57" w:after="0"/>
              <w:ind w:hanging="0" w:left="1134"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b) somente serão considerados como erros substanciais ou relevantes e objetos de revisão, os erros unitários de quantitativo acima de 10% (dez por cento).</w:t>
            </w:r>
          </w:p>
          <w:p>
            <w:pPr>
              <w:pStyle w:val="Normal1"/>
              <w:widowControl w:val="false"/>
              <w:shd w:val="clear" w:fill="FFFF00"/>
              <w:tabs>
                <w:tab w:val="clear" w:pos="720"/>
                <w:tab w:val="left" w:pos="-10800"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6.4.3.</w:t>
            </w:r>
            <w:r>
              <w:rPr>
                <w:rFonts w:eastAsia="Arial" w:cs="Arial" w:ascii="Arial" w:hAnsi="Arial"/>
                <w:position w:val="0"/>
                <w:sz w:val="20"/>
                <w:sz w:val="20"/>
                <w:szCs w:val="20"/>
                <w:vertAlign w:val="baseline"/>
              </w:rPr>
              <w:t xml:space="preserve"> Nos casos de quantitativos com relevantes subestimativas no orçamento, o contrato poderá ser aditado se demonstrada a razoabilidade do pedido de aditivo, devendo ser atendidos cumulativamente os seguintes requisitos:</w:t>
            </w:r>
          </w:p>
          <w:p>
            <w:pPr>
              <w:pStyle w:val="Normal1"/>
              <w:shd w:val="clear" w:fill="FFFF00"/>
              <w:spacing w:lineRule="auto" w:line="240" w:before="57" w:after="0"/>
              <w:ind w:hanging="0" w:left="1134"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a alteração contratual deverá manter a proporcionalidade da diferença entre o valor global estimado pela Administração e o valor global contratado;</w:t>
            </w:r>
          </w:p>
          <w:p>
            <w:pPr>
              <w:pStyle w:val="Normal1"/>
              <w:shd w:val="clear" w:fill="FFFF00"/>
              <w:spacing w:lineRule="auto" w:line="240" w:before="57" w:after="0"/>
              <w:ind w:hanging="0" w:left="1134"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w:t>
            </w:r>
          </w:p>
          <w:p>
            <w:pPr>
              <w:pStyle w:val="Normal1"/>
              <w:shd w:val="clear" w:fill="FFFF00"/>
              <w:spacing w:lineRule="auto" w:line="240" w:before="57" w:after="0"/>
              <w:ind w:hanging="0" w:left="1134"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c) a alteração contratual, em análise global, não deve ultrapassar a 10% (dez por cento) do valor total do contrato, computando-se esse percentual para verificação dos limites previstos no art. 125 da Lei Federal nº 14.133, de 2021;</w:t>
            </w:r>
          </w:p>
          <w:p>
            <w:pPr>
              <w:pStyle w:val="Normal1"/>
              <w:shd w:val="clear" w:fill="FFFF00"/>
              <w:spacing w:lineRule="auto" w:line="240" w:before="57" w:after="0"/>
              <w:ind w:hanging="0" w:left="1134"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d) o novo serviço incluído no contrato ou a quantidade acrescida no serviço cujo quantitativo foi originalmente subestimado não são compensados por eventuais distorções a maior nos quantitativos de outros serviços que favoreçam o contratado;</w:t>
            </w:r>
          </w:p>
          <w:p>
            <w:pPr>
              <w:pStyle w:val="Normal1"/>
              <w:widowControl w:val="false"/>
              <w:shd w:val="clear" w:fill="FFFF00"/>
              <w:tabs>
                <w:tab w:val="clear" w:pos="720"/>
                <w:tab w:val="left" w:pos="-10800"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6.4.4.</w:t>
            </w:r>
            <w:r>
              <w:rPr>
                <w:rFonts w:eastAsia="Arial" w:cs="Arial" w:ascii="Arial" w:hAnsi="Arial"/>
                <w:position w:val="0"/>
                <w:sz w:val="20"/>
                <w:sz w:val="20"/>
                <w:szCs w:val="20"/>
                <w:vertAlign w:val="baseline"/>
              </w:rPr>
              <w:t xml:space="preserve"> Em caso de quantitativos superestimados relevantes no orçamento, eventuais pleitos do CONTRATADO para não redução dos valores contratados poderão ser atendidos de forma excepcionalíssima, desde que preenchidos, cumulativamente, os seguintes requisitos:</w:t>
            </w:r>
          </w:p>
          <w:p>
            <w:pPr>
              <w:pStyle w:val="Normal1"/>
              <w:shd w:val="clear" w:fill="FFFF00"/>
              <w:spacing w:lineRule="auto" w:line="240" w:before="57" w:after="0"/>
              <w:ind w:hanging="0" w:left="1134"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referência da Administração ajustado; e</w:t>
            </w:r>
          </w:p>
          <w:p>
            <w:pPr>
              <w:pStyle w:val="Normal1"/>
              <w:shd w:val="clear" w:fill="FFFF00"/>
              <w:spacing w:lineRule="auto" w:line="240" w:before="57" w:after="0"/>
              <w:ind w:hanging="0" w:left="1134" w:right="0"/>
              <w:jc w:val="both"/>
              <w:rPr>
                <w:rFonts w:ascii="Arial" w:hAnsi="Arial" w:eastAsia="Arial" w:cs="Arial"/>
                <w:position w:val="0"/>
                <w:sz w:val="24"/>
                <w:sz w:val="24"/>
                <w:vertAlign w:val="baseline"/>
              </w:rPr>
            </w:pPr>
            <w:r>
              <w:rPr>
                <w:rFonts w:eastAsia="Arial" w:cs="Arial" w:ascii="Arial" w:hAnsi="Arial"/>
                <w:position w:val="0"/>
                <w:sz w:val="20"/>
                <w:sz w:val="20"/>
                <w:szCs w:val="20"/>
                <w:vertAlign w:val="baseline"/>
              </w:rPr>
              <w:t>b) a alteração do contrato de forma a reduzir os quantitativos daquele item inviabilizaria a execução contratual, devendo ser demonstrado que o valor a ser reduzido supere a remuneração e as contingências detalhadas na composição do BDI apresentado pelo contratado, bem como os montantes originados de eventuais distorções a maior existentes nos custos obtidos em sistemas referenciais da Administração Pública (efeitos cotação e barganha) que não foram eliminados no processo licitatório.</w:t>
            </w:r>
          </w:p>
          <w:p>
            <w:pPr>
              <w:pStyle w:val="Normal1"/>
              <w:shd w:val="clear" w:fill="FFFF00"/>
              <w:ind w:right="-1"/>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widowControl w:val="false"/>
        <w:tabs>
          <w:tab w:val="clear" w:pos="720"/>
          <w:tab w:val="left" w:pos="-720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7200" w:leader="none"/>
        </w:tabs>
        <w:spacing w:lineRule="auto" w:line="240" w:before="57" w:after="57"/>
        <w:rPr>
          <w:position w:val="0"/>
          <w:sz w:val="24"/>
          <w:sz w:val="24"/>
          <w:vertAlign w:val="baseline"/>
        </w:rPr>
      </w:pPr>
      <w:r>
        <w:rPr>
          <w:rFonts w:eastAsia="Arial" w:cs="Arial" w:ascii="Arial" w:hAnsi="Arial"/>
          <w:b/>
          <w:position w:val="0"/>
          <w:sz w:val="20"/>
          <w:sz w:val="20"/>
          <w:szCs w:val="20"/>
          <w:vertAlign w:val="baseline"/>
        </w:rPr>
        <w:t>6.5</w:t>
      </w:r>
      <w:r>
        <w:rPr>
          <w:rFonts w:eastAsia="Arial" w:cs="Arial" w:ascii="Arial" w:hAnsi="Arial"/>
          <w:position w:val="0"/>
          <w:sz w:val="20"/>
          <w:sz w:val="20"/>
          <w:szCs w:val="20"/>
          <w:vertAlign w:val="baseline"/>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dos serviços e permitirão gerenciar as responsabilidades por tarefas específicas. As atas serão lavradas e assinadas pelos participantes.</w:t>
      </w:r>
    </w:p>
    <w:p>
      <w:pPr>
        <w:pStyle w:val="Normal1"/>
        <w:widowControl w:val="false"/>
        <w:tabs>
          <w:tab w:val="clear" w:pos="720"/>
          <w:tab w:val="left" w:pos="-7200" w:leader="none"/>
        </w:tabs>
        <w:spacing w:lineRule="auto" w:line="240" w:before="57" w:after="57"/>
        <w:rPr>
          <w:position w:val="0"/>
          <w:sz w:val="24"/>
          <w:sz w:val="24"/>
          <w:vertAlign w:val="baseline"/>
        </w:rPr>
      </w:pPr>
      <w:r>
        <w:rPr>
          <w:position w:val="0"/>
          <w:sz w:val="24"/>
          <w:sz w:val="24"/>
          <w:vertAlign w:val="baseline"/>
        </w:rPr>
      </w:r>
    </w:p>
    <w:p>
      <w:pPr>
        <w:pStyle w:val="Normal1"/>
        <w:widowControl w:val="false"/>
        <w:tabs>
          <w:tab w:val="clear" w:pos="720"/>
          <w:tab w:val="left" w:pos="0" w:leader="none"/>
        </w:tabs>
        <w:spacing w:lineRule="auto" w:line="240" w:before="57" w:after="57"/>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7. CLÁUSULA SÉTIMA – DA QUALIDADE E RENDIMENTO</w:t>
      </w:r>
    </w:p>
    <w:p>
      <w:pPr>
        <w:pStyle w:val="Normal1"/>
        <w:widowControl w:val="false"/>
        <w:tabs>
          <w:tab w:val="clear" w:pos="720"/>
          <w:tab w:val="left" w:pos="0" w:leader="none"/>
        </w:tabs>
        <w:spacing w:lineRule="auto" w:line="240" w:before="57" w:after="57"/>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7.1.</w:t>
      </w:r>
      <w:r>
        <w:rPr>
          <w:rFonts w:eastAsia="Arial" w:cs="Arial" w:ascii="Arial" w:hAnsi="Arial"/>
          <w:position w:val="0"/>
          <w:sz w:val="20"/>
          <w:sz w:val="20"/>
          <w:szCs w:val="20"/>
          <w:vertAlign w:val="baseline"/>
        </w:rPr>
        <w:t xml:space="preserve"> O CONTRATADO deverá apresentar para aprovação do CONTRATANTE, quando requerida,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 xml:space="preserve">7.1.1. </w:t>
      </w:r>
      <w:r>
        <w:rPr>
          <w:rFonts w:eastAsia="Arial" w:cs="Arial" w:ascii="Arial" w:hAnsi="Arial"/>
          <w:position w:val="0"/>
          <w:sz w:val="20"/>
          <w:sz w:val="20"/>
          <w:szCs w:val="20"/>
          <w:vertAlign w:val="baseline"/>
        </w:rPr>
        <w:t>Os materiais a serem empregados nas obras e nos serviços de engenharia e arquitetura executados deverão obedecer, rigorosamente:</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às normas e especificações constantes nos elementos técnicos instrutores referentes à respectiva licitação;</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às normas do CONTRATANTE;</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às normas da ABNT;</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às disposições legais da União, do Estado do Paraná e do Município onde ser será executado o objeto;</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aos regulamentos das empresas concessionárias;</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às prescrições e recomendações dos fabricantes;</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às normas internacionais consagradas, na falta das normas da ABNT;</w:t>
      </w:r>
    </w:p>
    <w:p>
      <w:pPr>
        <w:pStyle w:val="Normal1"/>
        <w:numPr>
          <w:ilvl w:val="0"/>
          <w:numId w:val="9"/>
        </w:numPr>
        <w:tabs>
          <w:tab w:val="clear" w:pos="720"/>
          <w:tab w:val="left" w:pos="798" w:leader="none"/>
        </w:tabs>
        <w:spacing w:lineRule="auto" w:line="240" w:before="57" w:after="57"/>
        <w:ind w:hanging="0" w:left="567"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às normas regulamentadoras do Ministério do Trabalho.</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7.2</w:t>
      </w:r>
      <w:r>
        <w:rPr>
          <w:rFonts w:eastAsia="Arial" w:cs="Arial" w:ascii="Arial" w:hAnsi="Arial"/>
          <w:position w:val="0"/>
          <w:sz w:val="20"/>
          <w:sz w:val="20"/>
          <w:szCs w:val="20"/>
          <w:vertAlign w:val="baseline"/>
        </w:rPr>
        <w:t xml:space="preserve"> O CONTRATADO, para execução das obras ou serviços, ficará obrigada, a qualquer tempo e às suas expensas, a realizar análises, exames, ensaios, pesquisas ou testes necessários à comprovação da qualidade e procedência dos materiais a serem empregados nas obras ou serviços.</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7.3</w:t>
      </w:r>
      <w:r>
        <w:rPr>
          <w:rFonts w:eastAsia="Arial" w:cs="Arial" w:ascii="Arial" w:hAnsi="Arial"/>
          <w:position w:val="0"/>
          <w:sz w:val="20"/>
          <w:sz w:val="20"/>
          <w:szCs w:val="20"/>
          <w:vertAlign w:val="baseline"/>
        </w:rPr>
        <w:t xml:space="preserve"> Os trabalhos mencionados no item 7.2 deverão ser desenvolvidos por laboratórios especializados aprovados pelo CONTRATANTE, para efetivo controle de qualidade dos materiais, tornando-se obrigatória a apresentação por parte do CONTRATADO do Certificado de Análise.</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7.4</w:t>
      </w:r>
      <w:r>
        <w:rPr>
          <w:rFonts w:eastAsia="Arial" w:cs="Arial" w:ascii="Arial" w:hAnsi="Arial"/>
          <w:position w:val="0"/>
          <w:sz w:val="20"/>
          <w:sz w:val="20"/>
          <w:szCs w:val="20"/>
          <w:vertAlign w:val="baseline"/>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do emprego do mesmo, bem como exigindo a retirada daqueles que foram empregados, a contar do momento da recusa, sem ônus para o CONTRATANTE.</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7.5</w:t>
      </w:r>
      <w:r>
        <w:rPr>
          <w:rFonts w:eastAsia="Arial" w:cs="Arial" w:ascii="Arial" w:hAnsi="Arial"/>
          <w:position w:val="0"/>
          <w:sz w:val="20"/>
          <w:sz w:val="20"/>
          <w:szCs w:val="20"/>
          <w:vertAlign w:val="baseline"/>
        </w:rPr>
        <w:t xml:space="preserve"> A responsabilidade pelo fornecimento em tempo hábil dos materiais será do CONTRATADO, não podendo esta solicitar prorrogações de prazo, nem justificar retardamento da conclusão dos serviços em decorrência do fornecimento deficiente de materiais.</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7.6 </w:t>
      </w:r>
      <w:r>
        <w:rPr>
          <w:rFonts w:eastAsia="Arial" w:cs="Arial" w:ascii="Arial" w:hAnsi="Arial"/>
          <w:position w:val="0"/>
          <w:sz w:val="20"/>
          <w:sz w:val="20"/>
          <w:szCs w:val="20"/>
          <w:vertAlign w:val="baseline"/>
        </w:rPr>
        <w:t>Para a execução eficiente dos serviços, o CONTRATADO somente deverá empregar nas obras ou serviços de engenharia e arquitetura pessoal competente e qualificado.</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7.7</w:t>
      </w:r>
      <w:r>
        <w:rPr>
          <w:rFonts w:eastAsia="Arial" w:cs="Arial" w:ascii="Arial" w:hAnsi="Arial"/>
          <w:position w:val="0"/>
          <w:sz w:val="20"/>
          <w:sz w:val="20"/>
          <w:szCs w:val="20"/>
          <w:vertAlign w:val="baseline"/>
        </w:rPr>
        <w:t xml:space="preserve"> A aceitação dos equipamentos para a execução da obra ou serviços por parte do CONTRATANTE, casos os referidos equipamentos se revelem insuficientes e sem condições, não dá ao CONTRATADO razões para invocar a sua inadequação no atraso do cumprimento dos prazos e cronogramas de execução.</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7.8</w:t>
      </w:r>
      <w:r>
        <w:rPr>
          <w:rFonts w:eastAsia="Arial" w:cs="Arial" w:ascii="Arial" w:hAnsi="Arial"/>
          <w:position w:val="0"/>
          <w:sz w:val="20"/>
          <w:sz w:val="20"/>
          <w:szCs w:val="20"/>
          <w:vertAlign w:val="baseline"/>
        </w:rPr>
        <w:t xml:space="preserve"> A limpeza e perfeita organização do canteiro de obras constituem obrigação do CONTRATADO, assim como a limpeza do local após a conclusão dos trabalhos.</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7.9</w:t>
      </w:r>
      <w:r>
        <w:rPr>
          <w:rFonts w:eastAsia="Arial" w:cs="Arial" w:ascii="Arial" w:hAnsi="Arial"/>
          <w:position w:val="0"/>
          <w:sz w:val="20"/>
          <w:sz w:val="20"/>
          <w:szCs w:val="20"/>
          <w:vertAlign w:val="baseline"/>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Poderão, ainda, ser solicitados pela fiscalização, amostras de produtos, especificações e laudos técnicos.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7.9.1</w:t>
      </w:r>
      <w:r>
        <w:rPr>
          <w:rFonts w:eastAsia="Arial" w:cs="Arial" w:ascii="Arial" w:hAnsi="Arial"/>
          <w:position w:val="0"/>
          <w:sz w:val="20"/>
          <w:sz w:val="20"/>
          <w:szCs w:val="20"/>
          <w:vertAlign w:val="baseline"/>
        </w:rPr>
        <w:t xml:space="preserve"> A equivalência indicada, que deverá ser avaliada antes do fornecimento efetivo, é em relação ao atendimento aos requisitos e critérios mínimos de desempenho especificados e normatizados, coincidência de aspectos visuais (aparência/acabamento), de materiais de fabricação, de funcionalidade e de ergonomia.</w:t>
      </w:r>
    </w:p>
    <w:p>
      <w:pPr>
        <w:pStyle w:val="Normal1"/>
        <w:widowControl w:val="false"/>
        <w:tabs>
          <w:tab w:val="clear" w:pos="720"/>
          <w:tab w:val="left" w:pos="-7200" w:leader="none"/>
          <w:tab w:val="left" w:pos="-6066"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7.10.</w:t>
      </w:r>
      <w:r>
        <w:rPr>
          <w:rFonts w:eastAsia="Arial" w:cs="Arial" w:ascii="Arial" w:hAnsi="Arial"/>
          <w:position w:val="0"/>
          <w:sz w:val="20"/>
          <w:sz w:val="20"/>
          <w:szCs w:val="20"/>
          <w:vertAlign w:val="baseline"/>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pPr>
        <w:pStyle w:val="Normal1"/>
        <w:widowControl w:val="false"/>
        <w:tabs>
          <w:tab w:val="clear" w:pos="720"/>
          <w:tab w:val="left" w:pos="0" w:leader="none"/>
          <w:tab w:val="left" w:pos="1134"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0"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8. CLÁUSULA OITAVA – DO PREÇO</w:t>
      </w:r>
    </w:p>
    <w:p>
      <w:pPr>
        <w:pStyle w:val="Normal1"/>
        <w:widowControl w:val="false"/>
        <w:tabs>
          <w:tab w:val="clear" w:pos="720"/>
          <w:tab w:val="left" w:pos="0"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8.1</w:t>
      </w:r>
      <w:r>
        <w:rPr>
          <w:rFonts w:eastAsia="Arial" w:cs="Arial" w:ascii="Arial" w:hAnsi="Arial"/>
          <w:b/>
          <w:color w:val="FF0000"/>
          <w:position w:val="0"/>
          <w:sz w:val="20"/>
          <w:sz w:val="20"/>
          <w:szCs w:val="20"/>
          <w:vertAlign w:val="baseline"/>
        </w:rPr>
        <w:t xml:space="preserve"> </w:t>
      </w:r>
      <w:r>
        <w:rPr>
          <w:rFonts w:eastAsia="Arial" w:cs="Arial" w:ascii="Arial" w:hAnsi="Arial"/>
          <w:position w:val="0"/>
          <w:sz w:val="20"/>
          <w:sz w:val="20"/>
          <w:szCs w:val="20"/>
          <w:vertAlign w:val="baseline"/>
        </w:rPr>
        <w:t>A Tabela Oficial de Referência de Custos Unitários, adotada pelo Estado do Paraná, praticada pelo CONTRATANTE, corresponde a custos de materiais e mão de obra, inclusive encargos sociais e trabalhistas.</w:t>
      </w:r>
    </w:p>
    <w:p>
      <w:pPr>
        <w:pStyle w:val="Normal1"/>
        <w:widowControl w:val="false"/>
        <w:tabs>
          <w:tab w:val="clear" w:pos="720"/>
          <w:tab w:val="left" w:pos="0"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47"/>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32</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shd w:val="clear" w:fill="FFFF00"/>
              <w:spacing w:lineRule="auto" w:line="240" w:before="57" w:after="57"/>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spacing w:lineRule="auto" w:line="240" w:before="57" w:after="57"/>
              <w:jc w:val="both"/>
              <w:rPr>
                <w:rFonts w:ascii="Arial" w:hAnsi="Arial" w:eastAsia="Arial" w:cs="Arial"/>
                <w:b/>
                <w:position w:val="0"/>
                <w:sz w:val="20"/>
                <w:sz w:val="20"/>
                <w:szCs w:val="20"/>
                <w:vertAlign w:val="baseline"/>
              </w:rPr>
            </w:pPr>
            <w:r>
              <w:rPr>
                <w:rFonts w:eastAsia="Arial" w:cs="Arial" w:ascii="Arial" w:hAnsi="Arial"/>
                <w:position w:val="0"/>
                <w:sz w:val="20"/>
                <w:sz w:val="20"/>
                <w:szCs w:val="20"/>
                <w:highlight w:val="yellow"/>
                <w:vertAlign w:val="baseline"/>
              </w:rPr>
              <w:t>Para o critério de julgamento de MAIOR DESCONTO deverá ser utilizada a seguinte redação:</w:t>
            </w:r>
          </w:p>
          <w:p>
            <w:pPr>
              <w:pStyle w:val="Normal1"/>
              <w:widowControl w:val="false"/>
              <w:shd w:val="clear" w:fill="FFFF00"/>
              <w:tabs>
                <w:tab w:val="clear" w:pos="720"/>
                <w:tab w:val="left" w:pos="0" w:leader="none"/>
              </w:tabs>
              <w:spacing w:lineRule="auto" w:line="240" w:before="57" w:after="57"/>
              <w:jc w:val="both"/>
              <w:rPr>
                <w:rFonts w:ascii="Arial" w:hAnsi="Arial" w:eastAsia="Arial" w:cs="Arial"/>
                <w:position w:val="0"/>
                <w:sz w:val="24"/>
                <w:sz w:val="24"/>
                <w:vertAlign w:val="baseline"/>
              </w:rPr>
            </w:pPr>
            <w:r>
              <w:rPr>
                <w:rFonts w:eastAsia="Arial" w:cs="Arial" w:ascii="Arial" w:hAnsi="Arial"/>
                <w:b/>
                <w:position w:val="0"/>
                <w:sz w:val="20"/>
                <w:sz w:val="20"/>
                <w:szCs w:val="20"/>
                <w:vertAlign w:val="baseline"/>
              </w:rPr>
              <w:t>8.2.</w:t>
            </w:r>
            <w:r>
              <w:rPr>
                <w:rFonts w:eastAsia="Arial" w:cs="Arial" w:ascii="Arial" w:hAnsi="Arial"/>
                <w:position w:val="0"/>
                <w:sz w:val="20"/>
                <w:sz w:val="20"/>
                <w:szCs w:val="20"/>
                <w:vertAlign w:val="baseline"/>
              </w:rPr>
              <w:t xml:space="preserve"> O percentual de desconto oferecido pelo CONTRATADO incidirá uniformemente, de forma linear, sobre todos os preços constantes da planilha de quantidades e preços fornecidos pelo CONTRATANTE;</w:t>
            </w:r>
          </w:p>
          <w:p>
            <w:pPr>
              <w:pStyle w:val="Normal1"/>
              <w:shd w:val="clear" w:fill="FFFF00"/>
              <w:spacing w:lineRule="auto" w:line="240" w:before="57" w:after="57"/>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spacing w:lineRule="auto" w:line="240" w:before="57" w:after="57"/>
              <w:jc w:val="both"/>
              <w:rPr>
                <w:rFonts w:ascii="Arial" w:hAnsi="Arial" w:eastAsia="Arial" w:cs="Arial"/>
                <w:position w:val="0"/>
                <w:sz w:val="24"/>
                <w:sz w:val="24"/>
                <w:vertAlign w:val="baseline"/>
              </w:rPr>
            </w:pPr>
            <w:r>
              <w:rPr>
                <w:rFonts w:eastAsia="Arial" w:cs="Arial" w:ascii="Arial" w:hAnsi="Arial"/>
                <w:position w:val="0"/>
                <w:sz w:val="20"/>
                <w:sz w:val="20"/>
                <w:szCs w:val="20"/>
                <w:highlight w:val="yellow"/>
                <w:vertAlign w:val="baseline"/>
              </w:rPr>
              <w:t>Se a licitação for pelo critério de julgamento de MENOR PREÇO, a redação do item 8.2, acrescido do subitem 8.2.1, deverá ser a seguinte:</w:t>
            </w:r>
          </w:p>
          <w:p>
            <w:pPr>
              <w:pStyle w:val="Normal1"/>
              <w:shd w:val="clear" w:fill="FFFF00"/>
              <w:spacing w:lineRule="auto" w:line="240" w:before="57" w:after="57"/>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hd w:val="clear" w:fill="FFFF00"/>
              <w:spacing w:lineRule="auto" w:line="240" w:before="57" w:after="57"/>
              <w:jc w:val="both"/>
              <w:rPr>
                <w:rFonts w:ascii="Arial" w:hAnsi="Arial" w:eastAsia="Arial" w:cs="Arial"/>
                <w:b/>
                <w:position w:val="0"/>
                <w:sz w:val="20"/>
                <w:sz w:val="20"/>
                <w:szCs w:val="20"/>
                <w:highlight w:val="yellow"/>
                <w:vertAlign w:val="baseline"/>
              </w:rPr>
            </w:pPr>
            <w:r>
              <w:rPr>
                <w:rFonts w:eastAsia="Arial" w:cs="Arial" w:ascii="Arial" w:hAnsi="Arial"/>
                <w:b/>
                <w:position w:val="0"/>
                <w:sz w:val="20"/>
                <w:sz w:val="20"/>
                <w:szCs w:val="20"/>
                <w:highlight w:val="yellow"/>
                <w:vertAlign w:val="baseline"/>
              </w:rPr>
              <w:t>8.2</w:t>
            </w:r>
            <w:r>
              <w:rPr>
                <w:rFonts w:eastAsia="Arial" w:cs="Arial" w:ascii="Arial" w:hAnsi="Arial"/>
                <w:position w:val="0"/>
                <w:sz w:val="20"/>
                <w:sz w:val="20"/>
                <w:szCs w:val="20"/>
                <w:highlight w:val="yellow"/>
                <w:vertAlign w:val="baseline"/>
              </w:rPr>
              <w:t xml:space="preserve"> A planilha orçamentária deve observar o critério de aceitabilidade de preços unitários e global que foi fixado no edital.</w:t>
            </w:r>
          </w:p>
          <w:p>
            <w:pPr>
              <w:pStyle w:val="Normal1"/>
              <w:shd w:val="clear" w:fill="FFFF00"/>
              <w:spacing w:lineRule="auto" w:line="240" w:before="57" w:after="57"/>
              <w:jc w:val="both"/>
              <w:rPr>
                <w:position w:val="0"/>
                <w:sz w:val="24"/>
                <w:sz w:val="24"/>
                <w:vertAlign w:val="baseline"/>
              </w:rPr>
            </w:pPr>
            <w:r>
              <w:rPr>
                <w:rFonts w:eastAsia="Arial" w:cs="Arial" w:ascii="Arial" w:hAnsi="Arial"/>
                <w:b/>
                <w:position w:val="0"/>
                <w:sz w:val="20"/>
                <w:sz w:val="20"/>
                <w:szCs w:val="20"/>
                <w:highlight w:val="yellow"/>
                <w:vertAlign w:val="baseline"/>
              </w:rPr>
              <w:t>8.2.1</w:t>
            </w:r>
            <w:r>
              <w:rPr>
                <w:rFonts w:eastAsia="Arial" w:cs="Arial" w:ascii="Arial" w:hAnsi="Arial"/>
                <w:position w:val="0"/>
                <w:sz w:val="20"/>
                <w:sz w:val="20"/>
                <w:szCs w:val="20"/>
                <w:highlight w:val="yellow"/>
                <w:vertAlign w:val="baseline"/>
              </w:rPr>
              <w:t xml:space="preserve"> A diferença percentual entre o valor global do contrato e o preço global de referência não poderá ser reduzida em favor do contratado em decorrência de aditamentos que modifiquem a planilha orçamentária.</w:t>
            </w:r>
          </w:p>
        </w:tc>
      </w:tr>
    </w:tbl>
    <w:p>
      <w:pPr>
        <w:pStyle w:val="Normal1"/>
        <w:widowControl w:val="false"/>
        <w:tabs>
          <w:tab w:val="clear" w:pos="720"/>
          <w:tab w:val="left" w:pos="0"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w:t>
      </w:r>
      <w:r>
        <w:rPr>
          <w:rFonts w:eastAsia="Arial" w:cs="Arial" w:ascii="Arial" w:hAnsi="Arial"/>
          <w:position w:val="0"/>
          <w:sz w:val="20"/>
          <w:sz w:val="20"/>
          <w:szCs w:val="20"/>
          <w:vertAlign w:val="baseline"/>
        </w:rPr>
        <w:t xml:space="preserve"> Os preços, unitário e global, estabelecidos nos contratos incluem todos os custos necessários à perfeita execução do seu objeto, englobando, mas não se limitando, aos itens principais seguintes: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8.3.1</w:t>
      </w:r>
      <w:r>
        <w:rPr>
          <w:rFonts w:eastAsia="Arial" w:cs="Arial" w:ascii="Arial" w:hAnsi="Arial"/>
          <w:position w:val="0"/>
          <w:sz w:val="20"/>
          <w:sz w:val="20"/>
          <w:szCs w:val="20"/>
          <w:vertAlign w:val="baseline"/>
        </w:rPr>
        <w:t xml:space="preserve"> Todos os materiais, inclusive transporte até o local das obras ou serviços;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8.3.2. </w:t>
      </w:r>
      <w:r>
        <w:rPr>
          <w:rFonts w:eastAsia="Arial" w:cs="Arial" w:ascii="Arial" w:hAnsi="Arial"/>
          <w:position w:val="0"/>
          <w:sz w:val="20"/>
          <w:sz w:val="20"/>
          <w:szCs w:val="20"/>
          <w:vertAlign w:val="baseline"/>
        </w:rPr>
        <w:t>Toda a mão de obra, especializada ou não;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8.3.3</w:t>
      </w:r>
      <w:r>
        <w:rPr>
          <w:rFonts w:eastAsia="Arial" w:cs="Arial" w:ascii="Arial" w:hAnsi="Arial"/>
          <w:position w:val="0"/>
          <w:sz w:val="20"/>
          <w:sz w:val="20"/>
          <w:szCs w:val="20"/>
          <w:vertAlign w:val="baseline"/>
        </w:rPr>
        <w:t xml:space="preserve"> Todos os custos e despesas com equipamentos, telefonia, energia, água e saneamento;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8.3.4</w:t>
      </w:r>
      <w:r>
        <w:rPr>
          <w:rFonts w:eastAsia="Arial" w:cs="Arial" w:ascii="Arial" w:hAnsi="Arial"/>
          <w:position w:val="0"/>
          <w:sz w:val="20"/>
          <w:sz w:val="20"/>
          <w:szCs w:val="20"/>
          <w:vertAlign w:val="baseline"/>
        </w:rPr>
        <w:t xml:space="preserve"> Todos os custos e despesas com profissionais, consultores, técnicos, desenhistas, encarregados, topógrafos, ou seja, todo o pessoal necessário a direção, execução, controle e administração;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8.3.5 </w:t>
      </w:r>
      <w:r>
        <w:rPr>
          <w:rFonts w:eastAsia="Arial" w:cs="Arial" w:ascii="Arial" w:hAnsi="Arial"/>
          <w:position w:val="0"/>
          <w:sz w:val="20"/>
          <w:sz w:val="20"/>
          <w:szCs w:val="20"/>
          <w:vertAlign w:val="baseline"/>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8.3.6.</w:t>
      </w:r>
      <w:r>
        <w:rPr>
          <w:rFonts w:eastAsia="Arial" w:cs="Arial" w:ascii="Arial" w:hAnsi="Arial"/>
          <w:position w:val="0"/>
          <w:sz w:val="20"/>
          <w:sz w:val="20"/>
          <w:szCs w:val="20"/>
          <w:vertAlign w:val="baseline"/>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8.3.7</w:t>
      </w:r>
      <w:r>
        <w:rPr>
          <w:rFonts w:eastAsia="Arial" w:cs="Arial" w:ascii="Arial" w:hAnsi="Arial"/>
          <w:position w:val="0"/>
          <w:sz w:val="20"/>
          <w:sz w:val="20"/>
          <w:szCs w:val="20"/>
          <w:vertAlign w:val="baseline"/>
        </w:rPr>
        <w:t xml:space="preserve"> Custos com a execução, manutenção e retirada de todas as instalações provisórias necessárias à execução das obras ou serviços;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8.3.8</w:t>
      </w:r>
      <w:r>
        <w:rPr>
          <w:rFonts w:eastAsia="Arial" w:cs="Arial" w:ascii="Arial" w:hAnsi="Arial"/>
          <w:position w:val="0"/>
          <w:sz w:val="20"/>
          <w:sz w:val="20"/>
          <w:szCs w:val="20"/>
          <w:vertAlign w:val="baseline"/>
        </w:rPr>
        <w:t xml:space="preserve"> Todos os custos com demolição ou remoção necessárias à execução do objeto ajustado;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8.3.9</w:t>
      </w:r>
      <w:r>
        <w:rPr>
          <w:rFonts w:eastAsia="Arial" w:cs="Arial" w:ascii="Arial" w:hAnsi="Arial"/>
          <w:position w:val="0"/>
          <w:sz w:val="20"/>
          <w:sz w:val="20"/>
          <w:szCs w:val="20"/>
          <w:vertAlign w:val="baseline"/>
        </w:rPr>
        <w:t xml:space="preserve"> Todas as despesas financeiras e tributárias incidentes sobre o objeto do contrato;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8.3.10.</w:t>
      </w:r>
      <w:r>
        <w:rPr>
          <w:rFonts w:eastAsia="Arial" w:cs="Arial" w:ascii="Arial" w:hAnsi="Arial"/>
          <w:position w:val="0"/>
          <w:sz w:val="20"/>
          <w:sz w:val="20"/>
          <w:szCs w:val="20"/>
          <w:vertAlign w:val="baseline"/>
        </w:rPr>
        <w:t xml:space="preserve"> Todas as despesas decorrentes de infração de posturas e regulamentos;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8.3.11</w:t>
      </w:r>
      <w:r>
        <w:rPr>
          <w:rFonts w:eastAsia="Arial" w:cs="Arial" w:ascii="Arial" w:hAnsi="Arial"/>
          <w:position w:val="0"/>
          <w:sz w:val="20"/>
          <w:sz w:val="20"/>
          <w:szCs w:val="20"/>
          <w:vertAlign w:val="baseline"/>
        </w:rPr>
        <w:t>. Custos relacionados ao controle de qualidade,</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8.3.12</w:t>
      </w:r>
      <w:r>
        <w:rPr>
          <w:rFonts w:eastAsia="Arial" w:cs="Arial" w:ascii="Arial" w:hAnsi="Arial"/>
          <w:position w:val="0"/>
          <w:sz w:val="20"/>
          <w:sz w:val="20"/>
          <w:szCs w:val="20"/>
          <w:vertAlign w:val="baseline"/>
        </w:rPr>
        <w:t>. Custos com a limpeza integral da obra ou serviços após a conclusão dos trabalhos, despesas com placas de divulgação da obra, indicação dos profissionais responsáveis e de inauguração, obedecido os padrões de confecção e fixação.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8.3.13</w:t>
      </w:r>
      <w:r>
        <w:rPr>
          <w:rFonts w:eastAsia="Arial" w:cs="Arial" w:ascii="Arial" w:hAnsi="Arial"/>
          <w:position w:val="0"/>
          <w:sz w:val="20"/>
          <w:sz w:val="20"/>
          <w:szCs w:val="20"/>
          <w:vertAlign w:val="baseline"/>
        </w:rPr>
        <w:t xml:space="preserve"> Custos necessários à proteção e preservação do meio ambiente;</w:t>
      </w:r>
    </w:p>
    <w:p>
      <w:pPr>
        <w:pStyle w:val="Normal1"/>
        <w:widowControl w:val="false"/>
        <w:tabs>
          <w:tab w:val="clear" w:pos="720"/>
          <w:tab w:val="left" w:pos="-10517" w:leader="none"/>
        </w:tabs>
        <w:spacing w:lineRule="auto" w:line="240" w:before="57" w:after="57"/>
        <w:ind w:hanging="0" w:left="283" w:right="0"/>
        <w:jc w:val="both"/>
        <w:rPr>
          <w:position w:val="0"/>
          <w:sz w:val="24"/>
          <w:sz w:val="24"/>
          <w:vertAlign w:val="baseline"/>
        </w:rPr>
      </w:pPr>
      <w:r>
        <w:rPr>
          <w:rFonts w:eastAsia="Arial" w:cs="Arial" w:ascii="Arial" w:hAnsi="Arial"/>
          <w:b/>
          <w:position w:val="0"/>
          <w:sz w:val="20"/>
          <w:sz w:val="20"/>
          <w:szCs w:val="20"/>
          <w:vertAlign w:val="baseline"/>
        </w:rPr>
        <w:t xml:space="preserve">8.3.14. </w:t>
      </w:r>
      <w:r>
        <w:rPr>
          <w:rFonts w:eastAsia="Arial" w:cs="Arial" w:ascii="Arial" w:hAnsi="Arial"/>
          <w:position w:val="0"/>
          <w:sz w:val="20"/>
          <w:sz w:val="20"/>
          <w:szCs w:val="20"/>
          <w:vertAlign w:val="baseline"/>
        </w:rPr>
        <w:t>Outras despesas que se revelem próprias da natureza de atividades do executor;</w:t>
      </w:r>
    </w:p>
    <w:p>
      <w:pPr>
        <w:pStyle w:val="Normal1"/>
        <w:widowControl w:val="false"/>
        <w:tabs>
          <w:tab w:val="clear" w:pos="720"/>
          <w:tab w:val="left" w:pos="-10517" w:leader="none"/>
        </w:tabs>
        <w:spacing w:lineRule="auto" w:line="240" w:before="57" w:after="57"/>
        <w:ind w:hanging="0" w:left="283" w:right="0"/>
        <w:rPr>
          <w:position w:val="0"/>
          <w:sz w:val="24"/>
          <w:sz w:val="24"/>
          <w:vertAlign w:val="baseline"/>
        </w:rPr>
      </w:pPr>
      <w:r>
        <w:rPr>
          <w:position w:val="0"/>
          <w:sz w:val="24"/>
          <w:sz w:val="24"/>
          <w:vertAlign w:val="baseline"/>
        </w:rPr>
      </w:r>
    </w:p>
    <w:tbl>
      <w:tblPr>
        <w:tblStyle w:val="Table48"/>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33</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57"/>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 contrato específico de cada obra ou serviço de engenharia e arquitetura contratados, na cláusula do valor para a execução do seu objeto, deverá constar explicitamente o percentual relativo a materiais e a mão de obra.</w:t>
            </w:r>
          </w:p>
          <w:p>
            <w:pPr>
              <w:pStyle w:val="Normal1"/>
              <w:shd w:val="clear" w:fill="FFFF00"/>
              <w:spacing w:lineRule="auto" w:line="240" w:before="57" w:after="57"/>
              <w:jc w:val="both"/>
              <w:rPr>
                <w:position w:val="0"/>
                <w:sz w:val="24"/>
                <w:sz w:val="24"/>
                <w:vertAlign w:val="baseline"/>
              </w:rPr>
            </w:pPr>
            <w:r>
              <w:rPr>
                <w:position w:val="0"/>
                <w:sz w:val="24"/>
                <w:sz w:val="24"/>
                <w:vertAlign w:val="baseline"/>
              </w:rPr>
            </w:r>
          </w:p>
        </w:tc>
      </w:tr>
    </w:tbl>
    <w:p>
      <w:pPr>
        <w:pStyle w:val="Normal1"/>
        <w:widowControl w:val="false"/>
        <w:tabs>
          <w:tab w:val="clear" w:pos="720"/>
          <w:tab w:val="left" w:pos="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0" w:leader="none"/>
        </w:tabs>
        <w:spacing w:lineRule="auto" w:line="240" w:before="57" w:after="57"/>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9. CLÁUSULA NONA – DOS PAGAMENTOS</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9.1</w:t>
      </w:r>
      <w:r>
        <w:rPr>
          <w:rFonts w:eastAsia="Arial" w:cs="Arial" w:ascii="Arial" w:hAnsi="Arial"/>
          <w:position w:val="0"/>
          <w:sz w:val="20"/>
          <w:sz w:val="20"/>
          <w:szCs w:val="20"/>
          <w:highlight w:val="white"/>
          <w:vertAlign w:val="baseline"/>
        </w:rPr>
        <w:t xml:space="preserve"> O pagamento dos serviços será efetuado pela Secretaria </w:t>
      </w:r>
      <w:r>
        <w:rPr>
          <w:rFonts w:eastAsia="Arial" w:cs="Arial" w:ascii="Arial" w:hAnsi="Arial"/>
          <w:position w:val="0"/>
          <w:sz w:val="20"/>
          <w:sz w:val="20"/>
          <w:szCs w:val="20"/>
          <w:highlight w:val="yellow"/>
          <w:vertAlign w:val="baseline"/>
        </w:rPr>
        <w:t>(ou entidade)</w:t>
      </w:r>
      <w:r>
        <w:rPr>
          <w:rFonts w:eastAsia="Arial" w:cs="Arial" w:ascii="Arial" w:hAnsi="Arial"/>
          <w:position w:val="0"/>
          <w:sz w:val="20"/>
          <w:sz w:val="20"/>
          <w:szCs w:val="20"/>
          <w:highlight w:val="white"/>
          <w:vertAlign w:val="baseline"/>
        </w:rPr>
        <w:t xml:space="preserve"> xxx, situado na xxx, CNPJ N.º 00.000.000/0000-00, conforme Cronograma Físico-Financeiro aprovado, observada a Cláusula Oitava d</w:t>
      </w:r>
      <w:r>
        <w:rPr>
          <w:rFonts w:eastAsia="Arial" w:cs="Arial" w:ascii="Arial" w:hAnsi="Arial"/>
          <w:position w:val="0"/>
          <w:sz w:val="20"/>
          <w:sz w:val="20"/>
          <w:szCs w:val="20"/>
          <w:vertAlign w:val="baseline"/>
        </w:rPr>
        <w:t>este Contrato</w:t>
      </w:r>
      <w:r>
        <w:rPr>
          <w:rFonts w:eastAsia="Arial" w:cs="Arial" w:ascii="Arial" w:hAnsi="Arial"/>
          <w:position w:val="0"/>
          <w:sz w:val="20"/>
          <w:sz w:val="20"/>
          <w:szCs w:val="20"/>
          <w:highlight w:val="white"/>
          <w:vertAlign w:val="baseline"/>
        </w:rPr>
        <w:t>.</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 xml:space="preserve">9.2 </w:t>
      </w:r>
      <w:r>
        <w:rPr>
          <w:rFonts w:eastAsia="Arial" w:cs="Arial" w:ascii="Arial" w:hAnsi="Arial"/>
          <w:position w:val="0"/>
          <w:sz w:val="20"/>
          <w:sz w:val="20"/>
          <w:szCs w:val="20"/>
          <w:highlight w:val="white"/>
          <w:vertAlign w:val="baseline"/>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9.2.1</w:t>
      </w:r>
      <w:r>
        <w:rPr>
          <w:rFonts w:eastAsia="Arial" w:cs="Arial" w:ascii="Arial" w:hAnsi="Arial"/>
          <w:position w:val="0"/>
          <w:sz w:val="20"/>
          <w:sz w:val="20"/>
          <w:szCs w:val="20"/>
          <w:vertAlign w:val="baseline"/>
        </w:rPr>
        <w:t>. Em todas as faturas:</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Nota Fiscal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de Contrato, a respectiva data de assinatura e o número do Cadastro Específico na Receita Federal – CNO, quando couber. Será admitida a apresentação de Nota Fiscal na forma eletrônica;</w:t>
      </w:r>
    </w:p>
    <w:p>
      <w:pPr>
        <w:pStyle w:val="Normal1"/>
        <w:spacing w:lineRule="auto" w:line="240" w:before="57"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position w:val="0"/>
          <w:sz w:val="20"/>
          <w:sz w:val="20"/>
          <w:szCs w:val="20"/>
          <w:vertAlign w:val="baseline"/>
        </w:rPr>
        <w:t>a.1) Quando houver reajuste ao contrato, deverá ser apresentada nota fiscal exclusiva com o valor referente à parcela do reajuste;</w:t>
      </w:r>
    </w:p>
    <w:p>
      <w:pPr>
        <w:pStyle w:val="Normal1"/>
        <w:spacing w:lineRule="auto" w:line="240" w:before="57" w:after="57"/>
        <w:ind w:hanging="0" w:left="567" w:right="0"/>
        <w:rPr>
          <w:rFonts w:ascii="Arial" w:hAnsi="Arial" w:eastAsia="Arial" w:cs="Arial"/>
          <w:position w:val="0"/>
          <w:sz w:val="20"/>
          <w:sz w:val="20"/>
          <w:szCs w:val="20"/>
          <w:vertAlign w:val="baseline"/>
        </w:rPr>
      </w:pPr>
      <w:r>
        <w:rPr>
          <w:rFonts w:eastAsia="Arial" w:cs="Arial" w:ascii="Arial" w:hAnsi="Arial"/>
          <w:color w:val="000000"/>
          <w:position w:val="0"/>
          <w:sz w:val="20"/>
          <w:sz w:val="20"/>
          <w:szCs w:val="20"/>
          <w:vertAlign w:val="baseline"/>
        </w:rPr>
        <w:t>a.2) No caso de a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 ou da Receita Federal”;</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FATURA DISCRIMINATIVA – Fatura discriminativa com todos os dados da empresa, o objeto executado, a parcela conforme cronograma vigente, o valor da parcela, bem como a fonte pagadora;</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b.1) quando houver reajuste ao contrato, deverá ser apresentada fatura discriminativa exclusiva com o valor referente à parcela do reajuste;</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c) PLANILHA DE MEDIÇÃO – Elaborada nos padrões do CONTRATANTE, de acordo com cronograma físico-financeiro, relativo à parcela faturada, de forma que os serviços e os valores faturados, correspondam aos serviços e aos respectivos índices percentuais discriminados no Relatório de Vistoria de Obras – (RVO) emitido pela Fiscalização da obra, que acompanha o processo da Fatura;</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 ADITIVOS DE CONTRATO – Cópias de todos os termos aditivos ao contrato, firmados até a data do faturamento, se houver;</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CRONOGRAMA FÍSICO-FINANCEIRO – Cópia do cronograma físico-financeiro da obra, devidamente aprovado pelo CONTRATANTE;</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f) PROVA DE PAGAMENTO DO PESSOAL – Folha de pagamento ou outro comprovante de pagamento, assinado pelos funcionários e devidamente autenticada pelo fiscal ou em outra forma admitida em Lei, referente ao período de medição;</w:t>
      </w:r>
    </w:p>
    <w:p>
      <w:pPr>
        <w:pStyle w:val="Normal1"/>
        <w:keepNext w:val="false"/>
        <w:keepLines w:val="false"/>
        <w:pageBreakBefore w:val="false"/>
        <w:widowControl/>
        <w:shd w:val="clear" w:fill="auto"/>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 PROVA DE RECOLHIMENTO JUNTO AO INSTITUTO NACIONAL DE SEGURIDADE SOCIAL – INSS – Recolhimentos vinculados à Matrícula da Obra, devidamente autenticado pelo fiscal ou em outra forma admitida em Lei, e Guia de Recolhimento Social – GPS, referente ao período de medição;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h)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i) CERTIDÃO NEGATIVA DO INSS – CND – Certidão Negativa de Débitos da Empresa junto ao INSS, em plena validade;</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j) CERTIDÃO NEGATIVA DO FGTS – CRF – Certidão Negativa de Débitos da Empresa junto ao FGTS, em plena validade;</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k) CERTIDÃO NEGATIVA DE TRIBUTOS, FEDERAIS, ESTADUAIS E MUNICIPAIS DA EMPRESA, em plena validade;</w:t>
      </w:r>
    </w:p>
    <w:p>
      <w:pPr>
        <w:pStyle w:val="Normal1"/>
        <w:spacing w:lineRule="auto" w:line="240" w:before="57" w:after="57"/>
        <w:ind w:hanging="0" w:left="567"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l) CERTIDÃO NEGATIVA DE DÉBITOS TRABALHISTAS – CNDT, conforme Lei nº 12.440 de 07 de julho de 2011;</w:t>
      </w:r>
    </w:p>
    <w:p>
      <w:pPr>
        <w:pStyle w:val="Normal1"/>
        <w:widowControl w:val="false"/>
        <w:tabs>
          <w:tab w:val="clear" w:pos="720"/>
          <w:tab w:val="left" w:pos="-10517" w:leader="none"/>
        </w:tabs>
        <w:spacing w:lineRule="auto" w:line="240" w:before="57" w:after="57"/>
        <w:ind w:hanging="0" w:left="283" w:right="0"/>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9.2.2.</w:t>
      </w:r>
      <w:r>
        <w:rPr>
          <w:rFonts w:eastAsia="Arial" w:cs="Arial" w:ascii="Arial" w:hAnsi="Arial"/>
          <w:position w:val="0"/>
          <w:sz w:val="20"/>
          <w:sz w:val="20"/>
          <w:szCs w:val="20"/>
          <w:vertAlign w:val="baseline"/>
        </w:rPr>
        <w:t xml:space="preserve"> SOMENTE NA PRIMEIRA FATURA:</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CONTRATO – Cópia do Contrato relativo ao objeto;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Alvará de Construção, quando exigido pelo Município do local da obra/serviço de engenharia ou arquitetura, ou documento de não obrigatoriedade emitido pelo Município em que se localiza a obra ou serviço;</w:t>
      </w:r>
    </w:p>
    <w:p>
      <w:pPr>
        <w:pStyle w:val="Normal1"/>
        <w:spacing w:lineRule="auto" w:line="240" w:before="57" w:after="57"/>
        <w:ind w:hanging="0" w:left="567"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c) Matrícula da obra ou serviço junto à Receita Federal – a matrícula no Cadastro Nacional de Obras – CNO (gerenciado pela Receita Federal)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pelo Receita Federal do Brasil;</w:t>
      </w:r>
    </w:p>
    <w:p>
      <w:pPr>
        <w:pStyle w:val="Normal1"/>
        <w:widowControl w:val="false"/>
        <w:tabs>
          <w:tab w:val="clear" w:pos="720"/>
          <w:tab w:val="left" w:pos="-10517" w:leader="none"/>
        </w:tabs>
        <w:spacing w:lineRule="auto" w:line="240" w:before="57" w:after="57"/>
        <w:ind w:hanging="0" w:left="283" w:right="0"/>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9.2.3.</w:t>
      </w:r>
      <w:r>
        <w:rPr>
          <w:rFonts w:eastAsia="Arial" w:cs="Arial" w:ascii="Arial" w:hAnsi="Arial"/>
          <w:position w:val="0"/>
          <w:sz w:val="20"/>
          <w:sz w:val="20"/>
          <w:szCs w:val="20"/>
          <w:vertAlign w:val="baseline"/>
        </w:rPr>
        <w:t xml:space="preserve"> SOMENTE NA ÚLTIMA FATURA:</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CERTIDÃO DE CONCLUSÃO DE OBRA – Emitida pelo Município;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TERMO DE RECEBIMENTO PROVISÓRIO – Devidamente assinado pelos membros da Comissão de Recebimento da Obra;</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c) CND – Certidão Negativa de Débitos do INSS – Referente à obra objeto do contrato;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 TERMO DE GARANTIA DO EQUIPAMENTO – Fornecido e instalado compatível com os prazos do fabricante, contados a partir do Recebimento Provisório da obra;</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e) “As Built” – “como construído” – quando houver necessidade, na </w:t>
      </w:r>
      <w:r>
        <w:rPr>
          <w:rFonts w:eastAsia="Arial" w:cs="Arial" w:ascii="Arial" w:hAnsi="Arial"/>
          <w:color w:val="000000"/>
          <w:position w:val="0"/>
          <w:sz w:val="20"/>
          <w:sz w:val="20"/>
          <w:szCs w:val="20"/>
          <w:vertAlign w:val="baseline"/>
        </w:rPr>
        <w:t xml:space="preserve">forma do item nº 16.3.7 deste </w:t>
      </w:r>
      <w:r>
        <w:rPr>
          <w:rFonts w:eastAsia="Arial" w:cs="Arial" w:ascii="Arial" w:hAnsi="Arial"/>
          <w:position w:val="0"/>
          <w:sz w:val="20"/>
          <w:sz w:val="20"/>
          <w:szCs w:val="20"/>
          <w:vertAlign w:val="baseline"/>
        </w:rPr>
        <w:t>Contrato;</w:t>
      </w:r>
    </w:p>
    <w:p>
      <w:pPr>
        <w:pStyle w:val="Normal1"/>
        <w:spacing w:lineRule="auto" w:line="240" w:before="57" w:after="57"/>
        <w:ind w:hanging="0" w:left="567" w:right="0"/>
        <w:jc w:val="both"/>
        <w:rPr>
          <w:rFonts w:ascii="Arial" w:hAnsi="Arial" w:eastAsia="Arial" w:cs="Arial"/>
          <w:b/>
          <w:position w:val="0"/>
          <w:sz w:val="20"/>
          <w:sz w:val="20"/>
          <w:szCs w:val="20"/>
          <w:highlight w:val="white"/>
          <w:vertAlign w:val="baseline"/>
        </w:rPr>
      </w:pPr>
      <w:r>
        <w:rPr>
          <w:rFonts w:eastAsia="Arial" w:cs="Arial" w:ascii="Arial" w:hAnsi="Arial"/>
          <w:position w:val="0"/>
          <w:sz w:val="20"/>
          <w:sz w:val="20"/>
          <w:szCs w:val="20"/>
          <w:vertAlign w:val="baseline"/>
        </w:rPr>
        <w:t>f) Manual de operação, uso e manutenção da edificação, quando for o caso, conforme NBR específica;</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9.3</w:t>
      </w:r>
      <w:r>
        <w:rPr>
          <w:rFonts w:eastAsia="Arial" w:cs="Arial" w:ascii="Arial" w:hAnsi="Arial"/>
          <w:position w:val="0"/>
          <w:sz w:val="20"/>
          <w:sz w:val="20"/>
          <w:szCs w:val="20"/>
          <w:highlight w:val="white"/>
          <w:vertAlign w:val="baseline"/>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9.4</w:t>
      </w:r>
      <w:r>
        <w:rPr>
          <w:rFonts w:eastAsia="Arial" w:cs="Arial" w:ascii="Arial" w:hAnsi="Arial"/>
          <w:position w:val="0"/>
          <w:sz w:val="20"/>
          <w:sz w:val="20"/>
          <w:szCs w:val="20"/>
          <w:highlight w:val="white"/>
          <w:vertAlign w:val="baseline"/>
        </w:rPr>
        <w:t xml:space="preserve"> O CONTRATANTE deverá observar a seguinte cronologia para o procedimento de pagamentos: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9.4.1</w:t>
      </w:r>
      <w:r>
        <w:rPr>
          <w:rFonts w:eastAsia="Arial" w:cs="Arial" w:ascii="Arial" w:hAnsi="Arial"/>
          <w:position w:val="0"/>
          <w:sz w:val="20"/>
          <w:sz w:val="20"/>
          <w:szCs w:val="20"/>
          <w:vertAlign w:val="baseline"/>
        </w:rPr>
        <w:t>. Os procedimentos para pagamentos de faturas pelo CONTRATANTE serão efetuados consoante ordem cronológica de protocolização. O CONTRATANTE, após processar a fatura, encaminhará a mesma ao órgão titular do crédito orçamentário;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9.4.2 </w:t>
      </w:r>
      <w:r>
        <w:rPr>
          <w:rFonts w:eastAsia="Arial" w:cs="Arial" w:ascii="Arial" w:hAnsi="Arial"/>
          <w:position w:val="0"/>
          <w:sz w:val="20"/>
          <w:sz w:val="20"/>
          <w:szCs w:val="20"/>
          <w:vertAlign w:val="baseline"/>
        </w:rPr>
        <w:t>A data limite para a protocolização de faturas ao Protocolo Geral do CONTRATANTE é o dia 20 (vinte) de cada mês;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9.4.3</w:t>
      </w:r>
      <w:r>
        <w:rPr>
          <w:rFonts w:eastAsia="Arial" w:cs="Arial" w:ascii="Arial" w:hAnsi="Arial"/>
          <w:position w:val="0"/>
          <w:sz w:val="20"/>
          <w:sz w:val="20"/>
          <w:szCs w:val="20"/>
          <w:vertAlign w:val="baseline"/>
        </w:rPr>
        <w:t xml:space="preserve"> No caso de divergência entre a planilha de medição e o faturamento ou na constatação de falta de documentação, por ato administrativo motivado da unidade responsável, o CONTRATADO será notificada a proceder a regularização, sob pena do não recebimento da fatura até que seja sanada a irregularidade;</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9.5</w:t>
      </w:r>
      <w:r>
        <w:rPr>
          <w:rFonts w:eastAsia="Arial" w:cs="Arial" w:ascii="Arial" w:hAnsi="Arial"/>
          <w:position w:val="0"/>
          <w:sz w:val="20"/>
          <w:sz w:val="20"/>
          <w:szCs w:val="20"/>
          <w:highlight w:val="white"/>
          <w:vertAlign w:val="baseline"/>
        </w:rPr>
        <w:t xml:space="preserve"> O prazo máximo para o pagamento das faturas regularmente processadas é de 30 (trinta) dias corridos contados da protocolização, observado o item 9.4.3;</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9.5.1.</w:t>
      </w:r>
      <w:r>
        <w:rPr>
          <w:rFonts w:eastAsia="Arial" w:cs="Arial" w:ascii="Arial" w:hAnsi="Arial"/>
          <w:position w:val="0"/>
          <w:sz w:val="20"/>
          <w:sz w:val="20"/>
          <w:szCs w:val="20"/>
          <w:highlight w:val="white"/>
          <w:vertAlign w:val="baseline"/>
        </w:rPr>
        <w:t xml:space="preserve"> Após 30 (trinta) dias da protocolização das faturas, incidirá sobre o valor faturado,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w:t>
      </w:r>
      <w:r>
        <w:rPr>
          <w:rFonts w:eastAsia="Arial" w:cs="Arial" w:ascii="Arial" w:hAnsi="Arial"/>
          <w:b/>
          <w:position w:val="0"/>
          <w:sz w:val="20"/>
          <w:sz w:val="20"/>
          <w:szCs w:val="20"/>
          <w:highlight w:val="white"/>
          <w:vertAlign w:val="baseline"/>
        </w:rPr>
        <w:t>dias em atraso.</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9.6.</w:t>
      </w:r>
      <w:r>
        <w:rPr>
          <w:rFonts w:eastAsia="Arial" w:cs="Arial" w:ascii="Arial" w:hAnsi="Arial"/>
          <w:position w:val="0"/>
          <w:sz w:val="20"/>
          <w:sz w:val="20"/>
          <w:szCs w:val="20"/>
          <w:highlight w:val="white"/>
          <w:vertAlign w:val="baseline"/>
        </w:rPr>
        <w:t xml:space="preserve"> A comprovada infringência de disposição de contrato implicará retenção de pagamentos, até final solução, sem prejuízo de outras penalidades cabíveis.</w:t>
      </w:r>
    </w:p>
    <w:p>
      <w:pPr>
        <w:pStyle w:val="Normal1"/>
        <w:widowControl w:val="false"/>
        <w:tabs>
          <w:tab w:val="clear" w:pos="720"/>
          <w:tab w:val="left" w:pos="-7200"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9.7.</w:t>
      </w:r>
      <w:r>
        <w:rPr>
          <w:rFonts w:eastAsia="Arial" w:cs="Arial" w:ascii="Arial" w:hAnsi="Arial"/>
          <w:position w:val="0"/>
          <w:sz w:val="20"/>
          <w:sz w:val="20"/>
          <w:szCs w:val="20"/>
          <w:highlight w:val="white"/>
          <w:vertAlign w:val="baseline"/>
        </w:rPr>
        <w:t xml:space="preserve"> Nenhum pagamento será efetuado ao CONTRATADO que tenha sido multado, antes de paga ou relevada a multa. Reserva-se ao CONTRATANTE o direito de descontar da das faturas ou da garantia quaisquer débitos do CONTRATADO.</w:t>
      </w:r>
    </w:p>
    <w:p>
      <w:pPr>
        <w:pStyle w:val="Normal1"/>
        <w:widowControl w:val="false"/>
        <w:tabs>
          <w:tab w:val="clear" w:pos="720"/>
          <w:tab w:val="left" w:pos="0"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true"/>
        <w:keepLines w:val="false"/>
        <w:pageBreakBefore w:val="false"/>
        <w:widowControl/>
        <w:shd w:val="clear" w:fill="FFFFFF"/>
        <w:spacing w:lineRule="auto" w:line="240" w:before="57" w:after="57"/>
        <w:ind w:hanging="0" w:left="27"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10. CLÁUSULA DÉCIMA – FONTE DE RECURSOS: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despesa correrá por conta da seguinte dotação orçamentária:</w:t>
      </w:r>
    </w:p>
    <w:p>
      <w:pPr>
        <w:pStyle w:val="Normal1"/>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 xml:space="preserve">Gestão/Unidade: </w:t>
      </w:r>
      <w:r>
        <w:rPr>
          <w:rFonts w:eastAsia="Arial" w:cs="Arial" w:ascii="Arial" w:hAnsi="Arial"/>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 xml:space="preserve">Fonte de Recursos: </w:t>
      </w:r>
      <w:r>
        <w:rPr>
          <w:rFonts w:eastAsia="Arial" w:cs="Arial" w:ascii="Arial" w:hAnsi="Arial"/>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 xml:space="preserve">Programa de Trabalho: </w:t>
      </w:r>
      <w:r>
        <w:rPr>
          <w:rFonts w:eastAsia="Arial" w:cs="Arial" w:ascii="Arial" w:hAnsi="Arial"/>
          <w:color w:val="000000"/>
          <w:position w:val="0"/>
          <w:sz w:val="20"/>
          <w:sz w:val="20"/>
          <w:szCs w:val="20"/>
          <w:highlight w:val="yellow"/>
          <w:vertAlign w:val="baseline"/>
        </w:rPr>
        <w:t>(preencher conforme indicado na Declaração Orçamentária);</w:t>
      </w:r>
    </w:p>
    <w:p>
      <w:pPr>
        <w:pStyle w:val="Normal1"/>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Elemento de Despesa: (</w:t>
      </w:r>
      <w:r>
        <w:rPr>
          <w:rFonts w:eastAsia="Arial" w:cs="Arial" w:ascii="Arial" w:hAnsi="Arial"/>
          <w:color w:val="000000"/>
          <w:position w:val="0"/>
          <w:sz w:val="20"/>
          <w:sz w:val="20"/>
          <w:szCs w:val="20"/>
          <w:highlight w:val="yellow"/>
          <w:vertAlign w:val="baseline"/>
        </w:rPr>
        <w:t>preencher conforme indicado na Declaração Orçamentária);.</w:t>
      </w:r>
    </w:p>
    <w:p>
      <w:pPr>
        <w:pStyle w:val="Normal1"/>
        <w:widowControl w:val="false"/>
        <w:tabs>
          <w:tab w:val="clear" w:pos="720"/>
          <w:tab w:val="left" w:pos="567" w:leader="none"/>
        </w:tabs>
        <w:spacing w:lineRule="auto" w:line="240" w:before="0" w:after="57"/>
        <w:ind w:hanging="0" w:left="567"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vertAlign w:val="baseline"/>
        </w:rPr>
        <w:t xml:space="preserve">Nota de Empenho: </w:t>
      </w:r>
      <w:r>
        <w:rPr>
          <w:rFonts w:eastAsia="Arial" w:cs="Arial" w:ascii="Arial" w:hAnsi="Arial"/>
          <w:color w:val="000000"/>
          <w:position w:val="0"/>
          <w:sz w:val="20"/>
          <w:sz w:val="20"/>
          <w:szCs w:val="20"/>
          <w:highlight w:val="yellow"/>
          <w:vertAlign w:val="baseline"/>
        </w:rPr>
        <w:t>(preencher com o número da nota de empenho).</w:t>
      </w:r>
    </w:p>
    <w:p>
      <w:pPr>
        <w:pStyle w:val="Normal1"/>
        <w:widowControl w:val="false"/>
        <w:tabs>
          <w:tab w:val="clear" w:pos="720"/>
          <w:tab w:val="left" w:pos="567" w:leader="none"/>
        </w:tabs>
        <w:spacing w:lineRule="auto" w:line="240" w:before="0" w:after="57"/>
        <w:ind w:hanging="0" w:left="567"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11. CLÁUSULA DÉCIMA PRIMEIRA – DO REAJUSTAMENTO DE PREÇOS</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color w:val="00000A"/>
          <w:position w:val="0"/>
          <w:sz w:val="20"/>
          <w:sz w:val="20"/>
          <w:szCs w:val="20"/>
          <w:highlight w:val="white"/>
          <w:vertAlign w:val="baseline"/>
        </w:rPr>
      </w:pPr>
      <w:r>
        <w:rPr>
          <w:rFonts w:eastAsia="Arial" w:cs="Arial" w:ascii="Arial" w:hAnsi="Arial"/>
          <w:b/>
          <w:position w:val="0"/>
          <w:sz w:val="20"/>
          <w:sz w:val="20"/>
          <w:szCs w:val="20"/>
          <w:highlight w:val="white"/>
          <w:vertAlign w:val="baseline"/>
        </w:rPr>
        <w:t>11.1</w:t>
      </w:r>
      <w:r>
        <w:rPr>
          <w:rFonts w:eastAsia="Arial" w:cs="Arial" w:ascii="Arial" w:hAnsi="Arial"/>
          <w:position w:val="0"/>
          <w:sz w:val="20"/>
          <w:sz w:val="20"/>
          <w:szCs w:val="20"/>
          <w:highlight w:val="white"/>
          <w:vertAlign w:val="baseline"/>
        </w:rPr>
        <w:t xml:space="preserve"> Os preços contratuais dos serviços e obras poderão ser reajustados, em Reais, de acordo com o inciso LVIII do art. 6º da Lei Federal nº 14.133, de 2021 e com os art. 169 e 170 do Decreto Estadual nº 10.086, de 2022.</w:t>
      </w:r>
    </w:p>
    <w:p>
      <w:pPr>
        <w:pStyle w:val="Normal1"/>
        <w:widowControl w:val="false"/>
        <w:tabs>
          <w:tab w:val="clear" w:pos="720"/>
          <w:tab w:val="left" w:pos="-720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color w:val="00000A"/>
          <w:position w:val="0"/>
          <w:sz w:val="20"/>
          <w:sz w:val="20"/>
          <w:szCs w:val="20"/>
          <w:highlight w:val="white"/>
          <w:vertAlign w:val="baseline"/>
        </w:rPr>
        <w:t>11.2.</w:t>
      </w:r>
      <w:r>
        <w:rPr>
          <w:rFonts w:eastAsia="Arial" w:cs="Arial" w:ascii="Arial" w:hAnsi="Arial"/>
          <w:color w:val="00000A"/>
          <w:position w:val="0"/>
          <w:sz w:val="20"/>
          <w:sz w:val="20"/>
          <w:szCs w:val="20"/>
          <w:highlight w:val="white"/>
          <w:vertAlign w:val="baseline"/>
        </w:rPr>
        <w:t xml:space="preserve"> O reajustamento de preços, quando e se for o caso, será efetuado observada a periodicidade prevista em lei nacional, considerando-se a variação ocorrida desde a data do orçamento, conforme estabelece o parágrafo único do art. 169 do Decreto Estadual nº 10.086/2022, até a data do efetivo adimplemento da obrigação, calculada pelo índice definido neste Contrato;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11.2.1.</w:t>
      </w:r>
      <w:r>
        <w:rPr>
          <w:rFonts w:eastAsia="Arial" w:cs="Arial" w:ascii="Arial" w:hAnsi="Arial"/>
          <w:position w:val="0"/>
          <w:sz w:val="20"/>
          <w:sz w:val="20"/>
          <w:szCs w:val="20"/>
          <w:vertAlign w:val="baseline"/>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11.2.2.</w:t>
      </w:r>
      <w:r>
        <w:rPr>
          <w:rFonts w:eastAsia="Arial" w:cs="Arial" w:ascii="Arial" w:hAnsi="Arial"/>
          <w:position w:val="0"/>
          <w:sz w:val="20"/>
          <w:sz w:val="20"/>
          <w:szCs w:val="20"/>
          <w:vertAlign w:val="baseline"/>
        </w:rPr>
        <w:t xml:space="preserve"> Se em consequência de culpa do CONTRATADO forem ultrapassados os prazos, o reajustamento só será aplicado com índice correspondente ao respectivo período de execução previsto no cronograma físico-financeiro, sem prejuízo da aplicação das penalidades pertinentes;</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11.2.3</w:t>
      </w:r>
      <w:r>
        <w:rPr>
          <w:rFonts w:eastAsia="Arial" w:cs="Arial" w:ascii="Arial" w:hAnsi="Arial"/>
          <w:position w:val="0"/>
          <w:sz w:val="20"/>
          <w:sz w:val="20"/>
          <w:szCs w:val="20"/>
          <w:vertAlign w:val="baseline"/>
        </w:rPr>
        <w:t>. Se o CONTRATADO antecipar o cronograma de execução, o reajustamento será aplicado com índice correspondente somente pelo período de execução efetiva do objeto contratado, conforme previstos na planilha de medição;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11.2.4.</w:t>
      </w:r>
      <w:r>
        <w:rPr>
          <w:rFonts w:eastAsia="Arial" w:cs="Arial" w:ascii="Arial" w:hAnsi="Arial"/>
          <w:position w:val="0"/>
          <w:sz w:val="20"/>
          <w:sz w:val="20"/>
          <w:szCs w:val="20"/>
          <w:vertAlign w:val="baseline"/>
        </w:rPr>
        <w:t xml:space="preserve"> O contrato será reajustado na forma da Lei e deste Contrato, independentemente de solicitação do CONTRATADO, salvo em caso de atraso do Cronograma físico-financeiro imputável ao CONTRATADO;</w:t>
      </w:r>
    </w:p>
    <w:p>
      <w:pPr>
        <w:pStyle w:val="Normal1"/>
        <w:widowControl w:val="false"/>
        <w:tabs>
          <w:tab w:val="clear" w:pos="720"/>
          <w:tab w:val="left" w:pos="-10517"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11.2.5.</w:t>
      </w:r>
      <w:r>
        <w:rPr>
          <w:rFonts w:eastAsia="Arial" w:cs="Arial" w:ascii="Arial" w:hAnsi="Arial"/>
          <w:position w:val="0"/>
          <w:sz w:val="20"/>
          <w:sz w:val="20"/>
          <w:szCs w:val="20"/>
          <w:vertAlign w:val="baseline"/>
        </w:rPr>
        <w:t xml:space="preserve"> A variação do valor contratual para fazer face ao reajuste de preços previsto neste Contrato deve ser registrada por simples apostila, dispensando a celebração de termo aditivo.</w:t>
      </w:r>
    </w:p>
    <w:p>
      <w:pPr>
        <w:pStyle w:val="Normal1"/>
        <w:widowControl w:val="false"/>
        <w:tabs>
          <w:tab w:val="clear" w:pos="720"/>
          <w:tab w:val="left" w:pos="-10800"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11.3.</w:t>
      </w:r>
      <w:r>
        <w:rPr>
          <w:rFonts w:eastAsia="Arial" w:cs="Arial" w:ascii="Arial" w:hAnsi="Arial"/>
          <w:position w:val="0"/>
          <w:sz w:val="20"/>
          <w:sz w:val="20"/>
          <w:szCs w:val="20"/>
          <w:vertAlign w:val="baseline"/>
        </w:rPr>
        <w:t xml:space="preserve"> O cálculo do reajustamento para os preços contratuais iniciais obedecerá a seguinte fórmula:</w:t>
      </w:r>
    </w:p>
    <w:tbl>
      <w:tblPr>
        <w:tblStyle w:val="Table49"/>
        <w:tblW w:w="3658" w:type="dxa"/>
        <w:jc w:val="left"/>
        <w:tblInd w:w="-30" w:type="dxa"/>
        <w:tblLayout w:type="fixed"/>
        <w:tblCellMar>
          <w:top w:w="0" w:type="dxa"/>
          <w:left w:w="108" w:type="dxa"/>
          <w:bottom w:w="0" w:type="dxa"/>
          <w:right w:w="108" w:type="dxa"/>
        </w:tblCellMar>
        <w:tblLook w:val="0000"/>
      </w:tblPr>
      <w:tblGrid>
        <w:gridCol w:w="3658"/>
      </w:tblGrid>
      <w:tr>
        <w:trPr>
          <w:trHeight w:val="1010" w:hRule="atLeast"/>
        </w:trPr>
        <w:tc>
          <w:tcPr>
            <w:tcW w:w="3658"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R = K x Vr</w:t>
            </w:r>
          </w:p>
        </w:tc>
      </w:tr>
      <w:tr>
        <w:trPr>
          <w:trHeight w:val="1010" w:hRule="atLeast"/>
        </w:trPr>
        <w:tc>
          <w:tcPr>
            <w:tcW w:w="3658" w:type="dxa"/>
            <w:tcBorders>
              <w:left w:val="single" w:sz="6" w:space="0" w:color="C0C0C0"/>
              <w:bottom w:val="single" w:sz="6" w:space="0" w:color="C0C0C0"/>
              <w:right w:val="single" w:sz="6" w:space="0" w:color="C0C0C0"/>
            </w:tcBorders>
            <w:shd w:fill="auto" w:val="clear"/>
            <w:vAlign w:val="center"/>
          </w:tcPr>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b/>
                <w:color w:val="FF0000"/>
                <w:position w:val="0"/>
                <w:sz w:val="20"/>
                <w:sz w:val="20"/>
                <w:szCs w:val="20"/>
                <w:vertAlign w:val="baseline"/>
              </w:rPr>
              <w:t xml:space="preserve"> </w:t>
            </w:r>
            <w:r>
              <w:rPr>
                <w:rFonts w:eastAsia="Arial" w:cs="Arial" w:ascii="Arial" w:hAnsi="Arial"/>
                <w:position w:val="0"/>
                <w:sz w:val="20"/>
                <w:sz w:val="20"/>
                <w:szCs w:val="20"/>
                <w:vertAlign w:val="baseline"/>
              </w:rPr>
              <w:t xml:space="preserve">R = ( </w:t>
            </w:r>
            <w:r>
              <w:rPr>
                <w:rFonts w:eastAsia="Arial" w:cs="Arial" w:ascii="Arial" w:hAnsi="Arial"/>
                <w:position w:val="0"/>
                <w:sz w:val="20"/>
                <w:sz w:val="20"/>
                <w:szCs w:val="20"/>
                <w:u w:val="single"/>
                <w:vertAlign w:val="baseline"/>
              </w:rPr>
              <w:t xml:space="preserve">li </w:t>
            </w:r>
            <w:r>
              <w:rPr>
                <w:rFonts w:eastAsia="Arial" w:cs="Arial" w:ascii="Arial" w:hAnsi="Arial"/>
                <w:position w:val="0"/>
                <w:sz w:val="20"/>
                <w:sz w:val="20"/>
                <w:szCs w:val="20"/>
                <w:vertAlign w:val="baseline"/>
              </w:rPr>
              <w:t xml:space="preserve">  - 1) x Vr</w:t>
            </w:r>
          </w:p>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Io</w:t>
            </w:r>
          </w:p>
        </w:tc>
      </w:tr>
      <w:tr>
        <w:trPr/>
        <w:tc>
          <w:tcPr>
            <w:tcW w:w="3658"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K = ( </w:t>
            </w:r>
            <w:r>
              <w:rPr>
                <w:rFonts w:eastAsia="Arial" w:cs="Arial" w:ascii="Arial" w:hAnsi="Arial"/>
                <w:position w:val="0"/>
                <w:sz w:val="20"/>
                <w:sz w:val="20"/>
                <w:szCs w:val="20"/>
                <w:u w:val="single"/>
                <w:vertAlign w:val="baseline"/>
              </w:rPr>
              <w:t xml:space="preserve">li </w:t>
            </w:r>
            <w:r>
              <w:rPr>
                <w:rFonts w:eastAsia="Arial" w:cs="Arial" w:ascii="Arial" w:hAnsi="Arial"/>
                <w:position w:val="0"/>
                <w:sz w:val="20"/>
                <w:sz w:val="20"/>
                <w:szCs w:val="20"/>
                <w:vertAlign w:val="baseline"/>
              </w:rPr>
              <w:t xml:space="preserve"> - 1 )</w:t>
            </w:r>
          </w:p>
          <w:p>
            <w:pPr>
              <w:pStyle w:val="Normal1"/>
              <w:spacing w:lineRule="auto" w:line="240" w:before="57" w:after="0"/>
              <w:jc w:val="both"/>
              <w:rPr>
                <w:position w:val="0"/>
                <w:sz w:val="24"/>
                <w:sz w:val="24"/>
                <w:vertAlign w:val="baseline"/>
              </w:rPr>
            </w:pP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Io</w:t>
            </w:r>
          </w:p>
        </w:tc>
      </w:tr>
    </w:tbl>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br/>
        <w:t>R = valor do reajustamento procurado,</w:t>
      </w:r>
    </w:p>
    <w:p>
      <w:pPr>
        <w:pStyle w:val="Normal1"/>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K = Fator de reajustamento</w:t>
      </w:r>
    </w:p>
    <w:p>
      <w:pPr>
        <w:pStyle w:val="Normal1"/>
        <w:spacing w:lineRule="auto" w:line="240" w:before="57" w:after="0"/>
        <w:jc w:val="both"/>
        <w:rPr>
          <w:position w:val="0"/>
          <w:sz w:val="20"/>
          <w:sz w:val="20"/>
          <w:szCs w:val="20"/>
          <w:vertAlign w:val="baseline"/>
        </w:rPr>
      </w:pPr>
      <w:r>
        <w:rPr>
          <w:rFonts w:eastAsia="Arial" w:cs="Arial" w:ascii="Arial" w:hAnsi="Arial"/>
          <w:position w:val="0"/>
          <w:sz w:val="20"/>
          <w:sz w:val="20"/>
          <w:szCs w:val="20"/>
          <w:vertAlign w:val="baseline"/>
        </w:rPr>
        <w:t>Vr = Valor da fatura a ser reajustada</w:t>
      </w:r>
    </w:p>
    <w:p>
      <w:pPr>
        <w:pStyle w:val="Normal1"/>
        <w:keepNext w:val="true"/>
        <w:keepLines w:val="false"/>
        <w:pageBreakBefore w:val="false"/>
        <w:widowControl/>
        <w:shd w:val="clear" w:fill="FFFFFF"/>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lo = O índice de preços inicial (lo) será o índice econômico vigente na data do orçamento, conforme estabelece o parágrafo único do art. 169 do decreto Estadual nº 10.086/2022.</w:t>
      </w:r>
    </w:p>
    <w:p>
      <w:pPr>
        <w:pStyle w:val="Normal1"/>
        <w:keepNext w:val="true"/>
        <w:keepLines w:val="false"/>
        <w:pageBreakBefore w:val="false"/>
        <w:widowControl/>
        <w:shd w:val="clear" w:fill="FFFFFF"/>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Ii = O índice de preços (li) será o índice econômico vigente no mês do vencimento de cada período de 365 (trezentos e sessenta e cinco) dias da data do orçamento conforme estabelece o parágrafo único do art. 169 do decreto Estadual nº 10.086/2022.</w:t>
      </w:r>
    </w:p>
    <w:p>
      <w:pPr>
        <w:pStyle w:val="Normal1"/>
        <w:widowControl w:val="false"/>
        <w:tabs>
          <w:tab w:val="clear" w:pos="720"/>
          <w:tab w:val="left" w:pos="-10517" w:leader="none"/>
        </w:tabs>
        <w:spacing w:lineRule="auto" w:line="240" w:before="57" w:after="0"/>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11.3.1.</w:t>
      </w:r>
      <w:r>
        <w:rPr>
          <w:rFonts w:eastAsia="Arial" w:cs="Arial" w:ascii="Arial" w:hAnsi="Arial"/>
          <w:position w:val="0"/>
          <w:sz w:val="20"/>
          <w:sz w:val="20"/>
          <w:szCs w:val="20"/>
          <w:vertAlign w:val="baseline"/>
        </w:rPr>
        <w:t xml:space="preserve"> Os reajustamentos terão fator constante em cada período de 365 (trezentos e sessenta e cinco) dias. E, decorrido esse interregno, proceder-se-á a novo reajustamento de acordo com a metodologia constante neste Contrato.</w:t>
      </w:r>
    </w:p>
    <w:p>
      <w:pPr>
        <w:pStyle w:val="Normal1"/>
        <w:widowControl w:val="false"/>
        <w:tabs>
          <w:tab w:val="clear" w:pos="720"/>
          <w:tab w:val="left" w:pos="-10517" w:leader="none"/>
        </w:tabs>
        <w:spacing w:lineRule="auto" w:line="240" w:before="57" w:after="0"/>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11.3.2.</w:t>
      </w:r>
      <w:r>
        <w:rPr>
          <w:rFonts w:eastAsia="Arial" w:cs="Arial" w:ascii="Arial" w:hAnsi="Arial"/>
          <w:position w:val="0"/>
          <w:sz w:val="20"/>
          <w:sz w:val="20"/>
          <w:szCs w:val="20"/>
          <w:vertAlign w:val="baseline"/>
        </w:rPr>
        <w:t xml:space="preserve"> A periodicidade do reajustamento poderá ser reduzida por meio de legislação superveniente.</w:t>
      </w:r>
    </w:p>
    <w:p>
      <w:pPr>
        <w:pStyle w:val="Normal1"/>
        <w:widowControl w:val="false"/>
        <w:tabs>
          <w:tab w:val="clear" w:pos="720"/>
          <w:tab w:val="left" w:pos="-10517" w:leader="none"/>
        </w:tabs>
        <w:spacing w:lineRule="auto" w:line="240" w:before="57" w:after="0"/>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11.3.3.</w:t>
      </w:r>
      <w:r>
        <w:rPr>
          <w:rFonts w:eastAsia="Arial" w:cs="Arial" w:ascii="Arial" w:hAnsi="Arial"/>
          <w:position w:val="0"/>
          <w:sz w:val="20"/>
          <w:sz w:val="20"/>
          <w:szCs w:val="20"/>
          <w:vertAlign w:val="baseline"/>
        </w:rPr>
        <w:t xml:space="preserve"> O primeiro reajustamento, quando couber, será concedido após decorrido o período de 365 (trezentos e sessenta e cinco) dias da data do orçamento, conforme estabelece o parágrafo único do art. 169 do decreto Estadual nº 10.086/2022, desde que preenchidos os requisitos legais.</w:t>
      </w:r>
    </w:p>
    <w:p>
      <w:pPr>
        <w:pStyle w:val="Normal1"/>
        <w:widowControl w:val="false"/>
        <w:tabs>
          <w:tab w:val="clear" w:pos="720"/>
          <w:tab w:val="left" w:pos="-10517" w:leader="none"/>
        </w:tabs>
        <w:spacing w:lineRule="auto" w:line="240" w:before="57" w:after="0"/>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11.3.4.</w:t>
      </w:r>
      <w:r>
        <w:rPr>
          <w:rFonts w:eastAsia="Arial" w:cs="Arial" w:ascii="Arial" w:hAnsi="Arial"/>
          <w:position w:val="0"/>
          <w:sz w:val="20"/>
          <w:sz w:val="20"/>
          <w:szCs w:val="20"/>
          <w:vertAlign w:val="baseline"/>
        </w:rPr>
        <w:t xml:space="preserve"> Caso o contrato seja assinado após o decurso do período de 365 (trezentos e sessenta e cinco) dias data do orçamento, conforme estabelece o parágrafo único do art. 169 do decreto Estadual nº 10.086/2022, o valor contratual deverá ser reajustado até a data do primeiro aniversário do orçamento;</w:t>
      </w:r>
    </w:p>
    <w:p>
      <w:pPr>
        <w:pStyle w:val="Normal1"/>
        <w:widowControl w:val="false"/>
        <w:tabs>
          <w:tab w:val="clear" w:pos="720"/>
          <w:tab w:val="left" w:pos="-10517" w:leader="none"/>
        </w:tabs>
        <w:spacing w:lineRule="auto" w:line="240" w:before="57" w:after="0"/>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11.3.5.</w:t>
      </w:r>
      <w:r>
        <w:rPr>
          <w:rFonts w:eastAsia="Arial" w:cs="Arial" w:ascii="Arial" w:hAnsi="Arial"/>
          <w:position w:val="0"/>
          <w:sz w:val="20"/>
          <w:sz w:val="20"/>
          <w:szCs w:val="20"/>
          <w:vertAlign w:val="baseline"/>
        </w:rPr>
        <w:t xml:space="preserve"> Para o reajustamento será utilizado o “Índice Nacional de Custo da Construção – Disponibilidade Interna – INCC-DI”, elaborado pela Fundação Getúlio Vargas – FGV.</w:t>
      </w:r>
    </w:p>
    <w:p>
      <w:pPr>
        <w:pStyle w:val="Normal1"/>
        <w:tabs>
          <w:tab w:val="clear" w:pos="720"/>
          <w:tab w:val="left" w:pos="2187" w:leader="none"/>
        </w:tabs>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Caso o índice estabelecido para reajustamento venha a ser extinto ou de qualquer forma não possa mais ser utilizado, será adotado em substituição o que vier a ser determinado pela legislação então em vigor.</w:t>
      </w:r>
    </w:p>
    <w:p>
      <w:pPr>
        <w:pStyle w:val="Normal1"/>
        <w:tabs>
          <w:tab w:val="clear" w:pos="720"/>
          <w:tab w:val="left" w:pos="2187" w:leader="none"/>
        </w:tabs>
        <w:spacing w:lineRule="auto" w:line="240" w:before="57" w:after="57"/>
        <w:ind w:hanging="0" w:left="567" w:right="0"/>
        <w:jc w:val="both"/>
        <w:rPr>
          <w:rFonts w:ascii="Arial" w:hAnsi="Arial" w:eastAsia="Arial" w:cs="Arial"/>
          <w:b/>
          <w:color w:val="00000A"/>
          <w:position w:val="0"/>
          <w:sz w:val="20"/>
          <w:sz w:val="20"/>
          <w:szCs w:val="20"/>
          <w:highlight w:val="white"/>
          <w:vertAlign w:val="baseline"/>
        </w:rPr>
      </w:pPr>
      <w:r>
        <w:rPr>
          <w:rFonts w:eastAsia="Arial" w:cs="Arial" w:ascii="Arial" w:hAnsi="Arial"/>
          <w:position w:val="0"/>
          <w:sz w:val="20"/>
          <w:sz w:val="20"/>
          <w:szCs w:val="20"/>
          <w:vertAlign w:val="baseline"/>
        </w:rPr>
        <w:t>b) Na ausência dos índices específicos ou setoriais, previstos no artigo anterior, adotar-se-á o índice geral de preços mais vantajoso para a Administração, calculado por instituição oficial que retrate a variação do poder aquisitivo da moeda.</w:t>
      </w:r>
    </w:p>
    <w:p>
      <w:pPr>
        <w:pStyle w:val="Normal1"/>
        <w:tabs>
          <w:tab w:val="clear" w:pos="720"/>
          <w:tab w:val="left" w:pos="1620" w:leader="none"/>
        </w:tabs>
        <w:spacing w:lineRule="auto" w:line="240" w:before="57" w:after="0"/>
        <w:jc w:val="both"/>
        <w:rPr>
          <w:rFonts w:ascii="Arial" w:hAnsi="Arial" w:eastAsia="Arial" w:cs="Arial"/>
          <w:color w:val="00000A"/>
          <w:position w:val="0"/>
          <w:sz w:val="20"/>
          <w:sz w:val="20"/>
          <w:szCs w:val="20"/>
          <w:highlight w:val="white"/>
          <w:vertAlign w:val="baseline"/>
        </w:rPr>
      </w:pPr>
      <w:r>
        <w:rPr>
          <w:rFonts w:eastAsia="Arial" w:cs="Arial" w:ascii="Arial" w:hAnsi="Arial"/>
          <w:b/>
          <w:color w:val="00000A"/>
          <w:position w:val="0"/>
          <w:sz w:val="20"/>
          <w:sz w:val="20"/>
          <w:szCs w:val="20"/>
          <w:highlight w:val="white"/>
          <w:vertAlign w:val="baseline"/>
        </w:rPr>
        <w:t>11.4.</w:t>
      </w:r>
      <w:r>
        <w:rPr>
          <w:rFonts w:eastAsia="Arial" w:cs="Arial" w:ascii="Arial" w:hAnsi="Arial"/>
          <w:color w:val="00000A"/>
          <w:position w:val="0"/>
          <w:sz w:val="20"/>
          <w:sz w:val="20"/>
          <w:szCs w:val="20"/>
          <w:highlight w:val="white"/>
          <w:vertAlign w:val="baseline"/>
        </w:rPr>
        <w:t xml:space="preserve"> Considerar-se-á até a quarta casa decimal, sem arredondamento, o quociente de reajuste.</w:t>
      </w:r>
    </w:p>
    <w:p>
      <w:pPr>
        <w:pStyle w:val="Normal1"/>
        <w:tabs>
          <w:tab w:val="clear" w:pos="720"/>
          <w:tab w:val="left" w:pos="1620" w:leader="none"/>
        </w:tabs>
        <w:spacing w:lineRule="auto" w:line="240" w:before="57" w:after="0"/>
        <w:jc w:val="both"/>
        <w:rPr>
          <w:rFonts w:ascii="Arial" w:hAnsi="Arial" w:eastAsia="Arial" w:cs="Arial"/>
          <w:color w:val="00000A"/>
          <w:position w:val="0"/>
          <w:sz w:val="20"/>
          <w:sz w:val="20"/>
          <w:szCs w:val="20"/>
          <w:highlight w:val="white"/>
          <w:vertAlign w:val="baseline"/>
        </w:rPr>
      </w:pPr>
      <w:r>
        <w:rPr>
          <w:rFonts w:eastAsia="Arial" w:cs="Arial" w:ascii="Arial" w:hAnsi="Arial"/>
          <w:color w:val="00000A"/>
          <w:position w:val="0"/>
          <w:sz w:val="20"/>
          <w:sz w:val="20"/>
          <w:szCs w:val="20"/>
          <w:highlight w:val="white"/>
          <w:vertAlign w:val="baseline"/>
        </w:rPr>
      </w:r>
    </w:p>
    <w:p>
      <w:pPr>
        <w:pStyle w:val="Normal1"/>
        <w:widowControl w:val="false"/>
        <w:tabs>
          <w:tab w:val="clear" w:pos="720"/>
          <w:tab w:val="left" w:pos="0" w:leader="none"/>
        </w:tabs>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12. CLÁUSULA DÉCIMA SEGUNDA – DAS GARANTIAS</w:t>
      </w:r>
    </w:p>
    <w:p>
      <w:pPr>
        <w:pStyle w:val="Normal1"/>
        <w:widowControl w:val="false"/>
        <w:tabs>
          <w:tab w:val="clear" w:pos="720"/>
          <w:tab w:val="left" w:pos="0" w:leader="none"/>
        </w:tabs>
        <w:spacing w:lineRule="auto" w:line="240" w:before="57" w:after="0"/>
        <w:jc w:val="both"/>
        <w:rPr>
          <w:position w:val="0"/>
          <w:sz w:val="20"/>
          <w:sz w:val="20"/>
          <w:szCs w:val="20"/>
          <w:vertAlign w:val="baseline"/>
        </w:rPr>
      </w:pPr>
      <w:r>
        <w:rPr>
          <w:rFonts w:eastAsia="Arial" w:cs="Arial" w:ascii="Arial" w:hAnsi="Arial"/>
          <w:b/>
          <w:position w:val="0"/>
          <w:sz w:val="20"/>
          <w:sz w:val="20"/>
          <w:szCs w:val="20"/>
          <w:highlight w:val="white"/>
          <w:vertAlign w:val="baseline"/>
        </w:rPr>
        <w:t>12.1</w:t>
      </w:r>
      <w:r>
        <w:rPr>
          <w:rFonts w:eastAsia="Arial" w:cs="Arial" w:ascii="Arial" w:hAnsi="Arial"/>
          <w:position w:val="0"/>
          <w:sz w:val="20"/>
          <w:sz w:val="20"/>
          <w:szCs w:val="20"/>
          <w:highlight w:val="white"/>
          <w:vertAlign w:val="baseline"/>
        </w:rPr>
        <w:t xml:space="preserve"> Caberá ao CONTRATADO optar por uma das seguintes modalidades de garantia:</w:t>
      </w:r>
    </w:p>
    <w:p>
      <w:pPr>
        <w:pStyle w:val="Normal1"/>
        <w:keepNext w:val="true"/>
        <w:keepLines w:val="false"/>
        <w:pageBreakBefore w:val="false"/>
        <w:widowControl/>
        <w:shd w:val="clear" w:fill="FFFFFF"/>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Caução em dinheiro ou em títulos de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pPr>
        <w:pStyle w:val="Normal1"/>
        <w:keepNext w:val="true"/>
        <w:keepLines w:val="false"/>
        <w:pageBreakBefore w:val="false"/>
        <w:widowControl/>
        <w:shd w:val="clear" w:fill="FFFFFF"/>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fiança bancária;</w:t>
      </w:r>
    </w:p>
    <w:p>
      <w:pPr>
        <w:pStyle w:val="Normal1"/>
        <w:keepNext w:val="true"/>
        <w:keepLines w:val="false"/>
        <w:pageBreakBefore w:val="false"/>
        <w:widowControl/>
        <w:shd w:val="clear" w:fill="FFFFFF"/>
        <w:spacing w:lineRule="auto" w:line="240" w:before="57" w:after="57"/>
        <w:ind w:hanging="0" w:left="567"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seguro-garantia.</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12.1.1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 garantias serão equivalentes a 5% (cinco por cento) do valor do contrato, incluído, no que couber, o reajustamento de preços</w:t>
      </w:r>
    </w:p>
    <w:p>
      <w:pPr>
        <w:pStyle w:val="Normal1"/>
        <w:widowControl w:val="false"/>
        <w:shd w:val="clear" w:fill="FFFFFF"/>
        <w:tabs>
          <w:tab w:val="clear" w:pos="720"/>
          <w:tab w:val="left" w:pos="851" w:leader="none"/>
          <w:tab w:val="left" w:pos="113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50"/>
        <w:tblW w:w="9029" w:type="dxa"/>
        <w:jc w:val="left"/>
        <w:tblInd w:w="-55" w:type="dxa"/>
        <w:tblLayout w:type="fixed"/>
        <w:tblCellMar>
          <w:top w:w="0" w:type="dxa"/>
          <w:left w:w="108" w:type="dxa"/>
          <w:bottom w:w="0" w:type="dxa"/>
          <w:right w:w="108" w:type="dxa"/>
        </w:tblCellMar>
        <w:tblLook w:val="0000"/>
      </w:tblPr>
      <w:tblGrid>
        <w:gridCol w:w="9029"/>
      </w:tblGrid>
      <w:tr>
        <w:trPr/>
        <w:tc>
          <w:tcPr>
            <w:tcW w:w="9029"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34</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1. O percentual poderá ser majorado para até 10% (dez por cento), desde que justificada mediante análise da complexidade técnica e dos riscos envolvidos.</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2. Nas contratações de obras e serviços de engenharia de grande vulto, poderá ser exigida a prestação de garantia, na modalidade seguro-garantia, com cláusula de retomada prevista no art. 102 da Lei nº 14.133/20221, em percentual equivalente a até 30% (trinta por cento) do valor inicial do contrato.</w:t>
            </w:r>
          </w:p>
        </w:tc>
      </w:tr>
    </w:tbl>
    <w:p>
      <w:pPr>
        <w:pStyle w:val="Normal1"/>
        <w:widowControl w:val="false"/>
        <w:tabs>
          <w:tab w:val="clear" w:pos="720"/>
          <w:tab w:val="left" w:pos="851" w:leader="none"/>
          <w:tab w:val="left" w:pos="113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12.1.2.</w:t>
      </w:r>
      <w:r>
        <w:rPr>
          <w:rFonts w:eastAsia="Arial" w:cs="Arial" w:ascii="Arial" w:hAnsi="Arial"/>
          <w:position w:val="0"/>
          <w:sz w:val="20"/>
          <w:sz w:val="20"/>
          <w:szCs w:val="20"/>
          <w:highlight w:val="white"/>
          <w:vertAlign w:val="baseline"/>
        </w:rPr>
        <w:t xml:space="preserve"> No caso de garantia em dinheiro, o CONTRATADO depositará em conta bancária específica, informada pelo CONTRATANTE, a importância correspondente a 5% (cinco por cento) do valor do contrato, a qual será aplicada em Instituição Financeira, conforme Lei Estadual n.º 11.685 de 11/02/87.</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12.1.3.</w:t>
      </w:r>
      <w:r>
        <w:rPr>
          <w:rFonts w:eastAsia="Arial" w:cs="Arial" w:ascii="Arial" w:hAnsi="Arial"/>
          <w:position w:val="0"/>
          <w:sz w:val="20"/>
          <w:sz w:val="20"/>
          <w:szCs w:val="20"/>
          <w:highlight w:val="white"/>
          <w:vertAlign w:val="baseline"/>
        </w:rPr>
        <w:t xml:space="preserve"> No caso de garantia em cheque, somente será aceito pelo CONTRATANTE, cheque administrativo.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12.1.4.</w:t>
      </w:r>
      <w:r>
        <w:rPr>
          <w:rFonts w:eastAsia="Arial" w:cs="Arial" w:ascii="Arial" w:hAnsi="Arial"/>
          <w:position w:val="0"/>
          <w:sz w:val="20"/>
          <w:sz w:val="20"/>
          <w:szCs w:val="20"/>
          <w:highlight w:val="white"/>
          <w:vertAlign w:val="baseline"/>
        </w:rPr>
        <w:t xml:space="preserve"> No caso de garantia prestada na modalidade de seguro-garantia, deverá vir acompanhada, obrigatoriamente, da Certidão de Regularidade Operacional junto à SUSEP – Superintendência de Seguros Privados, em nome da Seguradora que emitir a apólice;</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12.1.5.</w:t>
      </w:r>
      <w:r>
        <w:rPr>
          <w:rFonts w:eastAsia="Arial" w:cs="Arial" w:ascii="Arial" w:hAnsi="Arial"/>
          <w:position w:val="0"/>
          <w:sz w:val="20"/>
          <w:sz w:val="20"/>
          <w:szCs w:val="20"/>
          <w:highlight w:val="white"/>
          <w:vertAlign w:val="baseline"/>
        </w:rPr>
        <w:t xml:space="preserve"> A garantia prestada em carta fiança emitida por cooperativa de crédito deverá vir acompanhada da autorização de funcionamento emitida pelo Banco Central do Brasil.</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12.1.6.</w:t>
      </w:r>
      <w:r>
        <w:rPr>
          <w:rFonts w:eastAsia="Arial" w:cs="Arial" w:ascii="Arial" w:hAnsi="Arial"/>
          <w:position w:val="0"/>
          <w:sz w:val="20"/>
          <w:sz w:val="20"/>
          <w:szCs w:val="20"/>
          <w:highlight w:val="white"/>
          <w:vertAlign w:val="baseline"/>
        </w:rPr>
        <w:t xml:space="preserve"> Quando a garantia se processar sob a forma de Seguro-Garantia ou Fiança Bancária, a mesma não poderá ser prestada de forma proporcional ao período contratual, devendo sua validade coincidir com o </w:t>
      </w:r>
      <w:r>
        <w:rPr>
          <w:rFonts w:eastAsia="Arial" w:cs="Arial" w:ascii="Arial" w:hAnsi="Arial"/>
          <w:position w:val="0"/>
          <w:sz w:val="20"/>
          <w:sz w:val="20"/>
          <w:szCs w:val="20"/>
          <w:highlight w:val="yellow"/>
          <w:vertAlign w:val="baseline"/>
        </w:rPr>
        <w:t>prazo de vigência do contrato</w:t>
      </w:r>
      <w:r>
        <w:rPr>
          <w:rFonts w:eastAsia="Arial" w:cs="Arial" w:ascii="Arial" w:hAnsi="Arial"/>
          <w:position w:val="0"/>
          <w:sz w:val="20"/>
          <w:sz w:val="20"/>
          <w:szCs w:val="20"/>
          <w:highlight w:val="white"/>
          <w:vertAlign w:val="baseline"/>
        </w:rPr>
        <w:t>. Caso ocorra prorrogação do contrato, a garantia apresentada deverá ser prorrogada.</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12.1.7.</w:t>
      </w:r>
      <w:r>
        <w:rPr>
          <w:rFonts w:eastAsia="Arial" w:cs="Arial" w:ascii="Arial" w:hAnsi="Arial"/>
          <w:position w:val="0"/>
          <w:sz w:val="20"/>
          <w:sz w:val="20"/>
          <w:szCs w:val="20"/>
          <w:highlight w:val="white"/>
          <w:vertAlign w:val="baseline"/>
        </w:rPr>
        <w:t xml:space="preserve"> No caso de garantia prestada em títulos da dívida pública, deverá vir acompanhada, obrigatoriamente, das seguintes comprovações:</w:t>
      </w:r>
    </w:p>
    <w:p>
      <w:pPr>
        <w:pStyle w:val="Normal1"/>
        <w:spacing w:lineRule="auto" w:line="240" w:before="57" w:after="0"/>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origem/aquisição mediante documento respectivo e lançamento contábil por meio de registros no balanço patrimonial do CONTRATADO;</w:t>
      </w:r>
    </w:p>
    <w:p>
      <w:pPr>
        <w:pStyle w:val="Normal1"/>
        <w:spacing w:lineRule="auto" w:line="240" w:before="57" w:after="0"/>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documento emitido por entidade ou organismo oficial, dotado de fé pública, demonstrando o valor do título atualizado monetariamente.</w:t>
      </w:r>
    </w:p>
    <w:p>
      <w:pPr>
        <w:pStyle w:val="Normal1"/>
        <w:spacing w:lineRule="auto" w:line="240" w:before="57" w:after="0"/>
        <w:ind w:hanging="0" w:left="567"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c) memória de cálculo da correção atualizada do valor do título realizada por profissional legalmente habilitado;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 xml:space="preserve">12.1.8. </w:t>
      </w:r>
      <w:r>
        <w:rPr>
          <w:rFonts w:eastAsia="Arial" w:cs="Arial" w:ascii="Arial" w:hAnsi="Arial"/>
          <w:position w:val="0"/>
          <w:sz w:val="20"/>
          <w:sz w:val="20"/>
          <w:szCs w:val="20"/>
          <w:highlight w:val="white"/>
          <w:vertAlign w:val="baseline"/>
        </w:rPr>
        <w:t>Serão aceitos pelo CONTRATANTE apenas e tão somente títulos passíveis de resgate incontestável sob qualquer aspecto e com prazos de resgate de no máximo 90 dias após o prazo contratual.</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12.1.9.</w:t>
      </w:r>
      <w:r>
        <w:rPr>
          <w:rFonts w:eastAsia="Arial" w:cs="Arial" w:ascii="Arial" w:hAnsi="Arial"/>
          <w:position w:val="0"/>
          <w:sz w:val="20"/>
          <w:sz w:val="20"/>
          <w:szCs w:val="20"/>
          <w:highlight w:val="white"/>
          <w:vertAlign w:val="baseline"/>
        </w:rPr>
        <w:t xml:space="preserve"> O CONTRATANTE se reserva ao direito de averiguar, de acordo com as cautelas de estilo, a autenticidade do(s) título(s). Em se constatando indícios de fraude, o CONTRATANTE deverá oferecer denúncia ao Ministério Público.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12.1.10</w:t>
      </w:r>
      <w:r>
        <w:rPr>
          <w:rFonts w:eastAsia="Arial" w:cs="Arial" w:ascii="Arial" w:hAnsi="Arial"/>
          <w:position w:val="0"/>
          <w:sz w:val="20"/>
          <w:sz w:val="20"/>
          <w:szCs w:val="20"/>
          <w:highlight w:val="white"/>
          <w:vertAlign w:val="baseline"/>
        </w:rPr>
        <w:t>. A validade do seguro-garantia e fiança bancária será de 180 (cento e oitenta) dias além do prazo de execução dos serviços. Caso ocorra prorrogação do contrato, a garantia apresentada deverá ser prorrogada.</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12.1.11.</w:t>
      </w:r>
      <w:r>
        <w:rPr>
          <w:rFonts w:eastAsia="Arial" w:cs="Arial" w:ascii="Arial" w:hAnsi="Arial"/>
          <w:position w:val="0"/>
          <w:sz w:val="20"/>
          <w:sz w:val="20"/>
          <w:szCs w:val="20"/>
          <w:highlight w:val="white"/>
          <w:vertAlign w:val="baseline"/>
        </w:rPr>
        <w:t xml:space="preserve"> Uma das garantias previstas no item 12.1 letras a, b, e c, deverá ser apresentada previamente à assinatura do contrato a ser celebrado com o CONTRATANTE. O atendimento a esta determinação é requisito para a assinatura do contrato.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12.1.11.1.</w:t>
      </w:r>
      <w:r>
        <w:rPr>
          <w:rFonts w:eastAsia="Arial" w:cs="Arial" w:ascii="Arial" w:hAnsi="Arial"/>
          <w:position w:val="0"/>
          <w:sz w:val="20"/>
          <w:sz w:val="20"/>
          <w:szCs w:val="20"/>
          <w:highlight w:val="white"/>
          <w:vertAlign w:val="baseline"/>
        </w:rPr>
        <w:t xml:space="preserve"> </w:t>
      </w:r>
      <w:r>
        <w:rPr>
          <w:rFonts w:eastAsia="Arial" w:cs="Arial" w:ascii="Arial" w:hAnsi="Arial"/>
          <w:position w:val="0"/>
          <w:sz w:val="20"/>
          <w:sz w:val="20"/>
          <w:szCs w:val="20"/>
          <w:vertAlign w:val="baseline"/>
        </w:rPr>
        <w:t xml:space="preserve">No caso de </w:t>
      </w:r>
      <w:r>
        <w:rPr>
          <w:rFonts w:eastAsia="Arial" w:cs="Arial" w:ascii="Arial" w:hAnsi="Arial"/>
          <w:color w:val="000000"/>
          <w:position w:val="0"/>
          <w:sz w:val="20"/>
          <w:sz w:val="20"/>
          <w:szCs w:val="20"/>
          <w:vertAlign w:val="baseline"/>
        </w:rPr>
        <w:t>o contratado optar pela modalidade seguro-garantia, deverá apresentá-lo no prazo mínimo de 1 (um) mês, contado da data de homologação da licitação e anterior à assinatura do contrato.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12.1.12.</w:t>
      </w:r>
      <w:r>
        <w:rPr>
          <w:rFonts w:eastAsia="Arial" w:cs="Arial" w:ascii="Arial" w:hAnsi="Arial"/>
          <w:position w:val="0"/>
          <w:sz w:val="20"/>
          <w:sz w:val="20"/>
          <w:szCs w:val="20"/>
          <w:highlight w:val="white"/>
          <w:vertAlign w:val="baseline"/>
        </w:rPr>
        <w:t xml:space="preserve"> A garantia do contrato acompanhará os eventuais ajustes do valor contratual, devendo ser complementada pelo CONTRATADO, quando da celebração de Termos Aditivos ou apostilamentos ao contrato original, quando couber.</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12.1.13.</w:t>
      </w:r>
      <w:r>
        <w:rPr>
          <w:rFonts w:eastAsia="Arial" w:cs="Arial" w:ascii="Arial" w:hAnsi="Arial"/>
          <w:position w:val="0"/>
          <w:sz w:val="20"/>
          <w:sz w:val="20"/>
          <w:szCs w:val="20"/>
          <w:highlight w:val="white"/>
          <w:vertAlign w:val="baseline"/>
        </w:rPr>
        <w:t xml:space="preserve"> </w:t>
      </w:r>
      <w:r>
        <w:rPr>
          <w:rFonts w:eastAsia="Arial" w:cs="Arial" w:ascii="Arial" w:hAnsi="Arial"/>
          <w:position w:val="0"/>
          <w:sz w:val="20"/>
          <w:sz w:val="20"/>
          <w:szCs w:val="20"/>
          <w:vertAlign w:val="baseline"/>
        </w:rPr>
        <w:t xml:space="preserve">Como condição para assinatura do contrato, </w:t>
      </w:r>
      <w:r>
        <w:rPr>
          <w:rFonts w:eastAsia="Arial" w:cs="Arial" w:ascii="Arial" w:hAnsi="Arial"/>
          <w:color w:val="000000"/>
          <w:position w:val="0"/>
          <w:sz w:val="20"/>
          <w:sz w:val="20"/>
          <w:szCs w:val="20"/>
          <w:vertAlign w:val="baseline"/>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12.2.</w:t>
      </w:r>
      <w:r>
        <w:rPr>
          <w:rFonts w:eastAsia="Arial" w:cs="Arial" w:ascii="Arial" w:hAnsi="Arial"/>
          <w:position w:val="0"/>
          <w:sz w:val="20"/>
          <w:sz w:val="20"/>
          <w:szCs w:val="20"/>
          <w:highlight w:val="white"/>
          <w:vertAlign w:val="baseline"/>
        </w:rPr>
        <w:t>A caução referente ao reajuste, será retida pelo CONTRATANTE, quando devida, por ocasião do pagamento das parcelas.</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12.3.</w:t>
      </w:r>
      <w:r>
        <w:rPr>
          <w:rFonts w:eastAsia="Arial" w:cs="Arial" w:ascii="Arial" w:hAnsi="Arial"/>
          <w:position w:val="0"/>
          <w:sz w:val="20"/>
          <w:sz w:val="20"/>
          <w:szCs w:val="20"/>
          <w:highlight w:val="white"/>
          <w:vertAlign w:val="baseline"/>
        </w:rPr>
        <w:t xml:space="preserve"> Havendo acréscimo no valor contratual, o CONTRATADO deverá proceder o reforço proporcional da garantia. O não atendimento autoriza o CONTRATANTE a descontar das faturas o valor correspondente.</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12.4. </w:t>
      </w:r>
      <w:r>
        <w:rPr>
          <w:rFonts w:eastAsia="Arial" w:cs="Arial" w:ascii="Arial" w:hAnsi="Arial"/>
          <w:position w:val="0"/>
          <w:sz w:val="20"/>
          <w:sz w:val="20"/>
          <w:szCs w:val="20"/>
          <w:highlight w:val="white"/>
          <w:vertAlign w:val="baseline"/>
        </w:rPr>
        <w:t>As garantias serão devolvidas ao CONTRATADO, após a lavratura do termo de recebimento definitivo e da apuração dos haveres, devidamente atualizados e da apresentação dos documentos exigidos no item 19.5 deste contrato.</w:t>
      </w:r>
    </w:p>
    <w:p>
      <w:pPr>
        <w:pStyle w:val="Normal1"/>
        <w:widowControl w:val="false"/>
        <w:shd w:val="clear" w:fill="FFFFFF"/>
        <w:tabs>
          <w:tab w:val="clear" w:pos="720"/>
          <w:tab w:val="left" w:pos="-6349"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13. CLÁUSULA DÉCIMA TERCEIRA – DOS PRAZOS</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13.1</w:t>
      </w:r>
      <w:r>
        <w:rPr>
          <w:rFonts w:eastAsia="Arial" w:cs="Arial" w:ascii="Arial" w:hAnsi="Arial"/>
          <w:position w:val="0"/>
          <w:sz w:val="20"/>
          <w:sz w:val="20"/>
          <w:szCs w:val="20"/>
          <w:highlight w:val="white"/>
          <w:vertAlign w:val="baseline"/>
        </w:rPr>
        <w:t xml:space="preserve"> Os serviços deverão ser iniciados na data estabelecida na Ordem de Serviço referente ao contrato, sob pena do CONTRATADO ser penalizada com base no item</w:t>
      </w:r>
      <w:r>
        <w:rPr>
          <w:rFonts w:eastAsia="Arial" w:cs="Arial" w:ascii="Arial" w:hAnsi="Arial"/>
          <w:color w:val="000000"/>
          <w:position w:val="0"/>
          <w:sz w:val="20"/>
          <w:sz w:val="20"/>
          <w:szCs w:val="20"/>
          <w:vertAlign w:val="baseline"/>
        </w:rPr>
        <w:t xml:space="preserve"> 18.15 d</w:t>
      </w:r>
      <w:r>
        <w:rPr>
          <w:rFonts w:eastAsia="Arial" w:cs="Arial" w:ascii="Arial" w:hAnsi="Arial"/>
          <w:position w:val="0"/>
          <w:sz w:val="20"/>
          <w:sz w:val="20"/>
          <w:szCs w:val="20"/>
          <w:highlight w:val="white"/>
          <w:vertAlign w:val="baseline"/>
        </w:rPr>
        <w:t>este Contrato. O prazo de execução dos serviços terá início a partir da data determinada na Ordem de Serviço referente ao contrato e será igual ao número de dias estipulados no cronograma físico-financeiro.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13.1.1</w:t>
      </w:r>
      <w:r>
        <w:rPr>
          <w:rFonts w:eastAsia="Arial" w:cs="Arial" w:ascii="Arial" w:hAnsi="Arial"/>
          <w:position w:val="0"/>
          <w:sz w:val="20"/>
          <w:sz w:val="20"/>
          <w:szCs w:val="20"/>
          <w:vertAlign w:val="baseline"/>
        </w:rPr>
        <w:t xml:space="preserve"> Para a assinatura da Ordem de Serviço, o CONTRATADO deverá apresentar os seguintes documentos:</w:t>
      </w:r>
    </w:p>
    <w:p>
      <w:pPr>
        <w:pStyle w:val="Normal1"/>
        <w:keepNext w:val="false"/>
        <w:keepLines w:val="false"/>
        <w:pageBreakBefore w:val="false"/>
        <w:widowControl/>
        <w:shd w:val="clear" w:fill="auto"/>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ART – Anotação de Responsabilidade Técnica do CREA ou RRT – Registro de Responsabilidade Técnica do CAU.</w:t>
      </w:r>
    </w:p>
    <w:p>
      <w:pPr>
        <w:pStyle w:val="Normal1"/>
        <w:keepNext w:val="false"/>
        <w:keepLines w:val="false"/>
        <w:pageBreakBefore w:val="false"/>
        <w:widowControl/>
        <w:shd w:val="clear" w:fill="auto"/>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ALVARÁ DE CONSTRUÇÃO, quando exigido pelo Município do local da obra/serviço de engenharia ou arquitetura, ou documento de não obrigatoriedade emitido pelo Município em que se localiza a obra ou serviço;</w:t>
      </w:r>
    </w:p>
    <w:p>
      <w:pPr>
        <w:pStyle w:val="Normal1"/>
        <w:keepNext w:val="false"/>
        <w:keepLines w:val="false"/>
        <w:pageBreakBefore w:val="false"/>
        <w:widowControl/>
        <w:shd w:val="clear" w:fill="auto"/>
        <w:spacing w:lineRule="auto" w:line="240" w:before="57" w:after="57"/>
        <w:ind w:hanging="0" w:left="567"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bookmarkStart w:id="14" w:name="_heading=h.35nkun2"/>
      <w:bookmarkEnd w:id="14"/>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MATRÍCULA DA OBRA OU SERVIÇO JUNTO À RECEITA FEDERAL – a matrícula CNO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p>
    <w:p>
      <w:pPr>
        <w:pStyle w:val="Normal1"/>
        <w:spacing w:lineRule="auto" w:line="240" w:before="57" w:after="57"/>
        <w:ind w:hanging="0" w:left="567"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d) APÓLICE DE SEGURO DE RISCOS DE ENGENHARIA, no caso de construções e ampliações;</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13.1.2.</w:t>
      </w:r>
      <w:r>
        <w:rPr>
          <w:rFonts w:eastAsia="Arial" w:cs="Arial" w:ascii="Arial" w:hAnsi="Arial"/>
          <w:position w:val="0"/>
          <w:sz w:val="20"/>
          <w:sz w:val="20"/>
          <w:szCs w:val="20"/>
          <w:vertAlign w:val="baseline"/>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Ao término deste prazo, poderá ser repactuada entre as partes a continuidade da suspensão, desde que subsistentes os motivos que ensejaram a paralisação, a qual será formalizada mediante documento próprio.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13.1.3.</w:t>
      </w:r>
      <w:r>
        <w:rPr>
          <w:rFonts w:eastAsia="Arial" w:cs="Arial" w:ascii="Arial" w:hAnsi="Arial"/>
          <w:position w:val="0"/>
          <w:sz w:val="20"/>
          <w:sz w:val="20"/>
          <w:szCs w:val="20"/>
          <w:vertAlign w:val="baseline"/>
        </w:rPr>
        <w:t xml:space="preserve"> Os motivos de força maior ou caso fortuito serão comunicados formalmente pelas partes e devidamente comprovados no prazo máximo de 48 (quarenta e oito) horas após a ocorrência.</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13.1.4.</w:t>
      </w:r>
      <w:r>
        <w:rPr>
          <w:rFonts w:eastAsia="Arial" w:cs="Arial" w:ascii="Arial" w:hAnsi="Arial"/>
          <w:position w:val="0"/>
          <w:sz w:val="20"/>
          <w:sz w:val="20"/>
          <w:szCs w:val="20"/>
          <w:vertAlign w:val="baseline"/>
        </w:rPr>
        <w:t xml:space="preserve"> Os motivos de força maior ou caso fortuito serão analisados pela autoridade competente do CONTRATANTE.</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13.1.5.</w:t>
      </w:r>
      <w:r>
        <w:rPr>
          <w:rFonts w:eastAsia="Arial" w:cs="Arial" w:ascii="Arial" w:hAnsi="Arial"/>
          <w:position w:val="0"/>
          <w:sz w:val="20"/>
          <w:sz w:val="20"/>
          <w:szCs w:val="20"/>
          <w:vertAlign w:val="baseline"/>
        </w:rPr>
        <w:t xml:space="preserve"> Reconhecidos os motivos de força maior ou caso fortuito que deram ensejo à paralisação, ocorrerá a suspensão do contrato, restituindo-se os prazos contratuais após a cessação dos motivos que suspenderam a execução do contrato.</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13.2.</w:t>
      </w:r>
      <w:r>
        <w:rPr>
          <w:rFonts w:eastAsia="Arial" w:cs="Arial" w:ascii="Arial" w:hAnsi="Arial"/>
          <w:position w:val="0"/>
          <w:sz w:val="20"/>
          <w:sz w:val="20"/>
          <w:szCs w:val="20"/>
          <w:highlight w:val="white"/>
          <w:vertAlign w:val="baseline"/>
        </w:rPr>
        <w:t xml:space="preserve"> O CONTRATANTE estabelecerá, para a execução dos contratos, prazo máximo, contado em dias corridos, conforme previsão no instrumento convocatório e/ou contratual.</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13.2.1.</w:t>
      </w:r>
      <w:r>
        <w:rPr>
          <w:rFonts w:eastAsia="Arial" w:cs="Arial" w:ascii="Arial" w:hAnsi="Arial"/>
          <w:position w:val="0"/>
          <w:sz w:val="20"/>
          <w:sz w:val="20"/>
          <w:szCs w:val="20"/>
          <w:highlight w:val="white"/>
          <w:vertAlign w:val="baseline"/>
        </w:rPr>
        <w:t xml:space="preserve"> O prazo de execução inicia-se na data estabelecida na Ordem de Serviço.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13.2.2.</w:t>
      </w:r>
      <w:r>
        <w:rPr>
          <w:rFonts w:eastAsia="Arial" w:cs="Arial" w:ascii="Arial" w:hAnsi="Arial"/>
          <w:position w:val="0"/>
          <w:sz w:val="20"/>
          <w:sz w:val="20"/>
          <w:szCs w:val="20"/>
          <w:highlight w:val="white"/>
          <w:vertAlign w:val="baseline"/>
        </w:rPr>
        <w:t xml:space="preserve"> Pelo atraso no prazo de execução, ficará o CONTRATADO sujeito às penalidades fixadas na </w:t>
      </w:r>
      <w:r>
        <w:rPr>
          <w:rFonts w:eastAsia="Arial" w:cs="Arial" w:ascii="Arial" w:hAnsi="Arial"/>
          <w:position w:val="0"/>
          <w:sz w:val="20"/>
          <w:sz w:val="20"/>
          <w:szCs w:val="20"/>
          <w:vertAlign w:val="baseline"/>
        </w:rPr>
        <w:t>Cláusula Décima Oitava</w:t>
      </w:r>
      <w:r>
        <w:rPr>
          <w:rFonts w:eastAsia="Arial" w:cs="Arial" w:ascii="Arial" w:hAnsi="Arial"/>
          <w:position w:val="0"/>
          <w:sz w:val="20"/>
          <w:sz w:val="20"/>
          <w:szCs w:val="20"/>
          <w:highlight w:val="white"/>
          <w:vertAlign w:val="baseline"/>
        </w:rPr>
        <w:t xml:space="preserve"> deste contrato, independentemente de aviso extrajudicial ou interpelação judicial.</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13.2.3.</w:t>
      </w:r>
      <w:r>
        <w:rPr>
          <w:rFonts w:eastAsia="Arial" w:cs="Arial" w:ascii="Arial" w:hAnsi="Arial"/>
          <w:position w:val="0"/>
          <w:sz w:val="20"/>
          <w:sz w:val="20"/>
          <w:szCs w:val="20"/>
          <w:highlight w:val="white"/>
          <w:vertAlign w:val="baseline"/>
        </w:rPr>
        <w:t xml:space="preserve"> Se o CONTRATADO deixar de assinar o aceite na Ordem de Serviço após 15 (quinze) dias, contados da data da convocação para assinatura, dar-se-á início à contagem do prazo de execução.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13.2.4.</w:t>
      </w:r>
      <w:r>
        <w:rPr>
          <w:rFonts w:eastAsia="Arial" w:cs="Arial" w:ascii="Arial" w:hAnsi="Arial"/>
          <w:position w:val="0"/>
          <w:sz w:val="20"/>
          <w:sz w:val="20"/>
          <w:szCs w:val="20"/>
          <w:highlight w:val="white"/>
          <w:vertAlign w:val="baseline"/>
        </w:rPr>
        <w:t xml:space="preserve"> O prazo para assinar o aceite da Ordem de Serviço poderá ser prorrogado por até 15 (quinze) dias mediante justificativa idônea aprovada pelo CONTRATANTE.</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13.2.5.</w:t>
      </w:r>
      <w:r>
        <w:rPr>
          <w:rFonts w:eastAsia="Arial" w:cs="Arial" w:ascii="Arial" w:hAnsi="Arial"/>
          <w:position w:val="0"/>
          <w:sz w:val="20"/>
          <w:sz w:val="20"/>
          <w:szCs w:val="20"/>
          <w:highlight w:val="white"/>
          <w:vertAlign w:val="baseline"/>
        </w:rPr>
        <w:t xml:space="preserve"> Se, imotivadamente, o CONTRATADO não iniciar os serviços em até 30 (trinta) dias da data estabelecida na Ordem de Serviço pela autoridade competente do CONTRATANTE o contrato poderá ser rescindido, sem prejuízo das penalidades cabíveis.</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13.3.</w:t>
      </w:r>
      <w:r>
        <w:rPr>
          <w:rFonts w:eastAsia="Arial" w:cs="Arial" w:ascii="Arial" w:hAnsi="Arial"/>
          <w:position w:val="0"/>
          <w:sz w:val="20"/>
          <w:sz w:val="20"/>
          <w:szCs w:val="20"/>
          <w:highlight w:val="white"/>
          <w:vertAlign w:val="baseline"/>
        </w:rPr>
        <w:t xml:space="preserve"> O prazo de execução do contrato é contado da data estabelecida na Ordem de Serviço e o de vigência inicia-se com a assinatura do contrato, sendo seu termo final 180 (cento e oitenta) dias após o término do prazo de execução, observados os iten</w:t>
      </w:r>
      <w:r>
        <w:rPr>
          <w:rFonts w:eastAsia="Arial" w:cs="Arial" w:ascii="Arial" w:hAnsi="Arial"/>
          <w:position w:val="0"/>
          <w:sz w:val="20"/>
          <w:sz w:val="20"/>
          <w:szCs w:val="20"/>
          <w:vertAlign w:val="baseline"/>
        </w:rPr>
        <w:t>s 5.2 e 5.3 deste contrato.</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13.4.</w:t>
      </w:r>
      <w:r>
        <w:rPr>
          <w:rFonts w:eastAsia="Arial" w:cs="Arial" w:ascii="Arial" w:hAnsi="Arial"/>
          <w:position w:val="0"/>
          <w:sz w:val="20"/>
          <w:sz w:val="20"/>
          <w:szCs w:val="20"/>
          <w:highlight w:val="white"/>
          <w:vertAlign w:val="baseline"/>
        </w:rPr>
        <w:t xml:space="preserve"> Caso o CONTRATANTE não convoque o CONTRATADO para assinatura do aceite da Ordem do Serviço, o termo final do prazo de vigência dar-se-á 180 (cento e oitenta) dias contados da assinatura do contrato.</w:t>
      </w:r>
    </w:p>
    <w:p>
      <w:pPr>
        <w:pStyle w:val="Normal1"/>
        <w:widowControl w:val="false"/>
        <w:shd w:val="clear" w:fill="FFFFFF"/>
        <w:tabs>
          <w:tab w:val="clear" w:pos="720"/>
          <w:tab w:val="left" w:pos="-63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13.5. </w:t>
      </w:r>
      <w:r>
        <w:rPr>
          <w:rFonts w:eastAsia="Arial" w:cs="Arial" w:ascii="Arial" w:hAnsi="Arial"/>
          <w:position w:val="0"/>
          <w:sz w:val="20"/>
          <w:sz w:val="20"/>
          <w:szCs w:val="20"/>
          <w:highlight w:val="white"/>
          <w:vertAlign w:val="baseline"/>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13.5.1.</w:t>
      </w:r>
      <w:r>
        <w:rPr>
          <w:rFonts w:eastAsia="Arial" w:cs="Arial" w:ascii="Arial" w:hAnsi="Arial"/>
          <w:position w:val="0"/>
          <w:sz w:val="20"/>
          <w:sz w:val="20"/>
          <w:szCs w:val="20"/>
          <w:highlight w:val="white"/>
          <w:vertAlign w:val="baseline"/>
        </w:rPr>
        <w:t xml:space="preserve"> Alteração do projeto ou especificações pelo CONTRATANTE;</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13.5.2.</w:t>
      </w:r>
      <w:r>
        <w:rPr>
          <w:rFonts w:eastAsia="Arial" w:cs="Arial" w:ascii="Arial" w:hAnsi="Arial"/>
          <w:position w:val="0"/>
          <w:sz w:val="20"/>
          <w:sz w:val="20"/>
          <w:szCs w:val="20"/>
          <w:highlight w:val="white"/>
          <w:vertAlign w:val="baseline"/>
        </w:rPr>
        <w:t xml:space="preserve"> Superveniência de fato excepcional ou imprevisível, estranho à vontade das partes, que altere fundamentalmente as condições de execução do contrato;</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13.5.3.</w:t>
      </w:r>
      <w:r>
        <w:rPr>
          <w:rFonts w:eastAsia="Arial" w:cs="Arial" w:ascii="Arial" w:hAnsi="Arial"/>
          <w:position w:val="0"/>
          <w:sz w:val="20"/>
          <w:sz w:val="20"/>
          <w:szCs w:val="20"/>
          <w:highlight w:val="white"/>
          <w:vertAlign w:val="baseline"/>
        </w:rPr>
        <w:t xml:space="preserve"> Interrupção da execução do contrato ou diminuição do ritmo de trabalho, por ordem e no interesse do CONTRATANTE;</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13.5.4.</w:t>
      </w:r>
      <w:r>
        <w:rPr>
          <w:rFonts w:eastAsia="Arial" w:cs="Arial" w:ascii="Arial" w:hAnsi="Arial"/>
          <w:position w:val="0"/>
          <w:sz w:val="20"/>
          <w:sz w:val="20"/>
          <w:szCs w:val="20"/>
          <w:highlight w:val="white"/>
          <w:vertAlign w:val="baseline"/>
        </w:rPr>
        <w:t xml:space="preserve"> Alteração das quantidades inicialmente previstas no contrato nos limites permitidos pela Lei;</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13.5.5.</w:t>
      </w:r>
      <w:r>
        <w:rPr>
          <w:rFonts w:eastAsia="Arial" w:cs="Arial" w:ascii="Arial" w:hAnsi="Arial"/>
          <w:position w:val="0"/>
          <w:sz w:val="20"/>
          <w:sz w:val="20"/>
          <w:szCs w:val="20"/>
          <w:highlight w:val="white"/>
          <w:vertAlign w:val="baseline"/>
        </w:rPr>
        <w:t xml:space="preserve"> Impedimento de execução do contrato, por fato ou ato de terceiro, reconhecido pelo CONTRATANTE em documento contemporâneo à sua ocorrência;</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13.5.6.</w:t>
      </w:r>
      <w:r>
        <w:rPr>
          <w:rFonts w:eastAsia="Arial" w:cs="Arial" w:ascii="Arial" w:hAnsi="Arial"/>
          <w:position w:val="0"/>
          <w:sz w:val="20"/>
          <w:sz w:val="20"/>
          <w:szCs w:val="20"/>
          <w:highlight w:val="white"/>
          <w:vertAlign w:val="baseline"/>
        </w:rPr>
        <w:t xml:space="preserve"> Omissão ou atraso de providências a cargo do CONTRATANTE, inclusive quanto aos pagamentos previstos, de que resulte, diretamente, impedimento ou retardamento na execução do contrato.</w:t>
      </w:r>
    </w:p>
    <w:p>
      <w:pPr>
        <w:pStyle w:val="Normal1"/>
        <w:widowControl w:val="false"/>
        <w:shd w:val="clear" w:fill="FFFFFF"/>
        <w:tabs>
          <w:tab w:val="clear" w:pos="720"/>
          <w:tab w:val="left" w:pos="-9949"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13.6.</w:t>
      </w:r>
      <w:r>
        <w:rPr>
          <w:rFonts w:eastAsia="Arial" w:cs="Arial" w:ascii="Arial" w:hAnsi="Arial"/>
          <w:position w:val="0"/>
          <w:sz w:val="20"/>
          <w:sz w:val="20"/>
          <w:szCs w:val="20"/>
          <w:highlight w:val="white"/>
          <w:vertAlign w:val="baseline"/>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13.6.1. </w:t>
      </w:r>
      <w:r>
        <w:rPr>
          <w:rFonts w:eastAsia="Arial" w:cs="Arial" w:ascii="Arial" w:hAnsi="Arial"/>
          <w:position w:val="0"/>
          <w:sz w:val="20"/>
          <w:sz w:val="20"/>
          <w:szCs w:val="20"/>
          <w:highlight w:val="white"/>
          <w:vertAlign w:val="baseline"/>
        </w:rPr>
        <w:t>Requerido aditivo contratual em que seja necessário readequação do cronograma físico-financeiro, o prazo de execução ficará automaticamente suspenso da data do encerramento do prazo a aditar até a assinatura do Termo Aditivo, devendo ser documentada a suspensão no cronograma físico-financeiro constante nos autos do processo administrativo;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position w:val="0"/>
          <w:sz w:val="20"/>
          <w:sz w:val="20"/>
          <w:szCs w:val="20"/>
          <w:highlight w:val="white"/>
          <w:vertAlign w:val="baseline"/>
        </w:rPr>
        <w:t>1</w:t>
      </w:r>
      <w:r>
        <w:rPr>
          <w:rFonts w:eastAsia="Arial" w:cs="Arial" w:ascii="Arial" w:hAnsi="Arial"/>
          <w:b/>
          <w:position w:val="0"/>
          <w:sz w:val="20"/>
          <w:sz w:val="20"/>
          <w:szCs w:val="20"/>
          <w:highlight w:val="white"/>
          <w:vertAlign w:val="baseline"/>
        </w:rPr>
        <w:t>3.6.2.</w:t>
      </w:r>
      <w:r>
        <w:rPr>
          <w:rFonts w:eastAsia="Arial" w:cs="Arial" w:ascii="Arial" w:hAnsi="Arial"/>
          <w:position w:val="0"/>
          <w:sz w:val="20"/>
          <w:sz w:val="20"/>
          <w:szCs w:val="20"/>
          <w:highlight w:val="white"/>
          <w:vertAlign w:val="baseline"/>
        </w:rPr>
        <w:t xml:space="preserve"> A mera solicitação de aditivo contratual não suspende o prazo de vigência;</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13.6.3.</w:t>
      </w:r>
      <w:r>
        <w:rPr>
          <w:rFonts w:eastAsia="Arial" w:cs="Arial" w:ascii="Arial" w:hAnsi="Arial"/>
          <w:position w:val="0"/>
          <w:sz w:val="20"/>
          <w:sz w:val="20"/>
          <w:szCs w:val="20"/>
          <w:highlight w:val="white"/>
          <w:vertAlign w:val="baseline"/>
        </w:rPr>
        <w:t xml:space="preserve"> No caso do subitem 13.6.1, caso seja indeferido o pedido de aditamento do contrato, o prazo não se considerará suspenso;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13.6.4.</w:t>
      </w:r>
      <w:r>
        <w:rPr>
          <w:rFonts w:eastAsia="Arial" w:cs="Arial" w:ascii="Arial" w:hAnsi="Arial"/>
          <w:position w:val="0"/>
          <w:sz w:val="20"/>
          <w:sz w:val="20"/>
          <w:szCs w:val="20"/>
          <w:highlight w:val="white"/>
          <w:vertAlign w:val="baseline"/>
        </w:rPr>
        <w:t xml:space="preserve"> No caso de prorrogação do prazo de execução, deverá ser elaborado novo cronograma físico-financeiro pelo CONTRATADO, com as alterações necessárias, incluindo-se as parcelas faturadas e a faturar, condicionado à análise e aprovação do CONTRATANTE.</w:t>
      </w:r>
    </w:p>
    <w:p>
      <w:pPr>
        <w:pStyle w:val="Normal1"/>
        <w:widowControl w:val="false"/>
        <w:shd w:val="clear" w:fill="FFFFFF"/>
        <w:tabs>
          <w:tab w:val="clear" w:pos="720"/>
          <w:tab w:val="left" w:pos="851"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14. CLÁUSULA DÉCIMA QUARTA - DA RESPONSABILIDADE TÉCNICA.</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14.1.</w:t>
      </w:r>
      <w:r>
        <w:rPr>
          <w:rFonts w:eastAsia="Arial" w:cs="Arial" w:ascii="Arial" w:hAnsi="Arial"/>
          <w:color w:val="000000"/>
          <w:position w:val="0"/>
          <w:sz w:val="20"/>
          <w:sz w:val="20"/>
          <w:szCs w:val="20"/>
          <w:highlight w:val="white"/>
          <w:vertAlign w:val="baseline"/>
        </w:rPr>
        <w:t xml:space="preserve"> O CONTRATADO deverá apresentar ao CONTRATANTE as Anotações de Responsabilidade Técnica – ART's, ou Registro de Responsabilidade Técnica – RRT’s, dos responsáveis técnicos pela execução da obra ou serviço contratados antes do início do prazo de execução;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14.2.</w:t>
      </w:r>
      <w:r>
        <w:rPr>
          <w:rFonts w:eastAsia="Arial" w:cs="Arial" w:ascii="Arial" w:hAnsi="Arial"/>
          <w:color w:val="000000"/>
          <w:position w:val="0"/>
          <w:sz w:val="20"/>
          <w:sz w:val="20"/>
          <w:szCs w:val="20"/>
          <w:highlight w:val="white"/>
          <w:vertAlign w:val="baseline"/>
        </w:rPr>
        <w:t xml:space="preserve"> A substituição do responsável técnico somente poderá ocorrer mediante prévia autorização por escrito do CONTRATANTE, devendo o novo responsável técnico atender às exigências editalícias.</w:t>
      </w:r>
    </w:p>
    <w:p>
      <w:pPr>
        <w:pStyle w:val="Normal1"/>
        <w:widowControl w:val="false"/>
        <w:tabs>
          <w:tab w:val="clear" w:pos="720"/>
          <w:tab w:val="left" w:pos="0" w:leader="none"/>
          <w:tab w:val="left" w:pos="993"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15. CLÁUSULA DÉCIMA QUINTA – DA SEGURANÇA DO TRABALHO</w:t>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15.1.</w:t>
      </w:r>
      <w:r>
        <w:rPr>
          <w:rFonts w:eastAsia="Arial" w:cs="Arial" w:ascii="Arial" w:hAnsi="Arial"/>
          <w:position w:val="0"/>
          <w:sz w:val="20"/>
          <w:sz w:val="20"/>
          <w:szCs w:val="20"/>
          <w:highlight w:val="white"/>
          <w:vertAlign w:val="baseline"/>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Ministério do Trabalho;</w:t>
      </w:r>
    </w:p>
    <w:p>
      <w:pPr>
        <w:pStyle w:val="Normal1"/>
        <w:widowControl w:val="false"/>
        <w:tabs>
          <w:tab w:val="clear" w:pos="720"/>
          <w:tab w:val="left" w:pos="0"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15.2.</w:t>
      </w:r>
      <w:r>
        <w:rPr>
          <w:rFonts w:eastAsia="Arial" w:cs="Arial" w:ascii="Arial" w:hAnsi="Arial"/>
          <w:position w:val="0"/>
          <w:sz w:val="20"/>
          <w:sz w:val="20"/>
          <w:szCs w:val="20"/>
          <w:highlight w:val="white"/>
          <w:vertAlign w:val="baseline"/>
        </w:rPr>
        <w:t xml:space="preserve"> O CONTRATANTE poderá, a seu critério, determinar a paralisação da obra quando julgar que as condições mínimas de segurança e higiene do trabalho não estão sendo observadas pelo CONTRATADO. Este procedimento não servirá como justificativa para eventuais atrasos.</w:t>
      </w:r>
    </w:p>
    <w:p>
      <w:pPr>
        <w:pStyle w:val="Normal1"/>
        <w:widowControl w:val="false"/>
        <w:tabs>
          <w:tab w:val="clear" w:pos="720"/>
          <w:tab w:val="left" w:pos="0" w:leader="none"/>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16. CLÁUSULA DÉCIMA SEXTA – DA EXECUÇÃO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16.1</w:t>
      </w:r>
      <w:r>
        <w:rPr>
          <w:rFonts w:eastAsia="Arial" w:cs="Arial" w:ascii="Arial" w:hAnsi="Arial"/>
          <w:position w:val="0"/>
          <w:sz w:val="20"/>
          <w:sz w:val="20"/>
          <w:szCs w:val="20"/>
          <w:highlight w:val="white"/>
          <w:vertAlign w:val="baseline"/>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16.2</w:t>
      </w:r>
      <w:r>
        <w:rPr>
          <w:rFonts w:eastAsia="Arial" w:cs="Arial" w:ascii="Arial" w:hAnsi="Arial"/>
          <w:position w:val="0"/>
          <w:sz w:val="20"/>
          <w:sz w:val="20"/>
          <w:szCs w:val="20"/>
          <w:highlight w:val="white"/>
          <w:vertAlign w:val="baseline"/>
        </w:rPr>
        <w:t xml:space="preserve"> O CONTRATADO deverá, às suas expensas, reparar, corrigir, reconstruir, substituir, demolir ou refazer quaisquer partes da obra ou serviços que, a juízo da fiscalização, não tenham sido executadas de acordo com o estipulado no contrato.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w:t>
      </w:r>
      <w:r>
        <w:rPr>
          <w:rFonts w:eastAsia="Arial" w:cs="Arial" w:ascii="Arial" w:hAnsi="Arial"/>
          <w:position w:val="0"/>
          <w:sz w:val="20"/>
          <w:sz w:val="20"/>
          <w:szCs w:val="20"/>
          <w:highlight w:val="white"/>
          <w:vertAlign w:val="baseline"/>
        </w:rPr>
        <w:t xml:space="preserve"> O CONTRATADO se obriga a:</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16.3.1.</w:t>
      </w:r>
      <w:r>
        <w:rPr>
          <w:rFonts w:eastAsia="Arial" w:cs="Arial" w:ascii="Arial" w:hAnsi="Arial"/>
          <w:position w:val="0"/>
          <w:sz w:val="20"/>
          <w:sz w:val="20"/>
          <w:szCs w:val="20"/>
          <w:highlight w:val="white"/>
          <w:vertAlign w:val="baseline"/>
        </w:rPr>
        <w:t xml:space="preserve"> Assegurar, durante a execução da obra ou serviços, proteção e conservação dos serviços executados, de forma que seja mantida sua integridade;</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16.3.2.</w:t>
      </w:r>
      <w:r>
        <w:rPr>
          <w:rFonts w:eastAsia="Arial" w:cs="Arial" w:ascii="Arial" w:hAnsi="Arial"/>
          <w:position w:val="0"/>
          <w:sz w:val="20"/>
          <w:sz w:val="20"/>
          <w:szCs w:val="20"/>
          <w:highlight w:val="white"/>
          <w:vertAlign w:val="baseline"/>
        </w:rPr>
        <w:t xml:space="preserve"> Executar imediatamente os reparos que se fizerem necessários nos serviços de sua responsabilidade, independentemente das penalidades cabíveis;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16.3.3.</w:t>
      </w:r>
      <w:r>
        <w:rPr>
          <w:rFonts w:eastAsia="Arial" w:cs="Arial" w:ascii="Arial" w:hAnsi="Arial"/>
          <w:position w:val="0"/>
          <w:sz w:val="20"/>
          <w:sz w:val="20"/>
          <w:szCs w:val="20"/>
          <w:highlight w:val="white"/>
          <w:vertAlign w:val="baseline"/>
        </w:rPr>
        <w:t xml:space="preserve"> Permitir e facilitar à fiscalização a inspeção do local da obra a qualquer dia ou hora, devendo prestar todos os informes e esclarecimentos solicitados por esta, pertençam seus fiscalizadores ao CONTRATANTE ou a terceiros por estes credenciados;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16.3.4.</w:t>
      </w:r>
      <w:r>
        <w:rPr>
          <w:rFonts w:eastAsia="Arial" w:cs="Arial" w:ascii="Arial" w:hAnsi="Arial"/>
          <w:position w:val="0"/>
          <w:sz w:val="20"/>
          <w:sz w:val="20"/>
          <w:szCs w:val="20"/>
          <w:highlight w:val="white"/>
          <w:vertAlign w:val="baseline"/>
        </w:rPr>
        <w:t xml:space="preserve"> Notificar a fiscalização, com 48 (quarenta e oito) horas de antecedência, no mínimo, da concretagem de fundações ou de elementos armados de estrutura, e do início dos testes de operação das instalações elétricas, mecânicas e hidráulicas;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16.3.5.</w:t>
      </w:r>
      <w:r>
        <w:rPr>
          <w:rFonts w:eastAsia="Arial" w:cs="Arial" w:ascii="Arial" w:hAnsi="Arial"/>
          <w:position w:val="0"/>
          <w:sz w:val="20"/>
          <w:sz w:val="20"/>
          <w:szCs w:val="20"/>
          <w:highlight w:val="white"/>
          <w:vertAlign w:val="baseline"/>
        </w:rPr>
        <w:t xml:space="preserve"> Providenciar a legalização das obras ou serviços junto aos órgãos competentes, por sua conta e responsabilidade, quando necessário;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16.3.6.</w:t>
      </w:r>
      <w:r>
        <w:rPr>
          <w:rFonts w:eastAsia="Arial" w:cs="Arial" w:ascii="Arial" w:hAnsi="Arial"/>
          <w:position w:val="0"/>
          <w:sz w:val="20"/>
          <w:sz w:val="20"/>
          <w:szCs w:val="20"/>
          <w:highlight w:val="white"/>
          <w:vertAlign w:val="baseline"/>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16.3.7.</w:t>
      </w:r>
      <w:r>
        <w:rPr>
          <w:rFonts w:eastAsia="Arial" w:cs="Arial" w:ascii="Arial" w:hAnsi="Arial"/>
          <w:position w:val="0"/>
          <w:sz w:val="20"/>
          <w:sz w:val="20"/>
          <w:szCs w:val="20"/>
          <w:highlight w:val="white"/>
          <w:vertAlign w:val="baseline"/>
        </w:rPr>
        <w:t xml:space="preserve"> Proceder, às suas expensas, quando couber, o “as built” (como construído), isto é, as anotações e registros nos projetos originais das alterações havidas na execução da obra, conforme NBR 14645-3, para fins de ordenação do cadastro técnico do CONTRATANTE;</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16.3.8.</w:t>
      </w:r>
      <w:r>
        <w:rPr>
          <w:rFonts w:eastAsia="Arial" w:cs="Arial" w:ascii="Arial" w:hAnsi="Arial"/>
          <w:position w:val="0"/>
          <w:sz w:val="20"/>
          <w:sz w:val="20"/>
          <w:szCs w:val="20"/>
          <w:highlight w:val="white"/>
          <w:vertAlign w:val="baseline"/>
        </w:rPr>
        <w:t xml:space="preserve"> Zelar pela integridade dos bens vinculados às atividades de obra e/ou prestação de serviços.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16.3.9.</w:t>
      </w:r>
      <w:r>
        <w:rPr>
          <w:rFonts w:eastAsia="Arial" w:cs="Arial" w:ascii="Arial" w:hAnsi="Arial"/>
          <w:position w:val="0"/>
          <w:sz w:val="20"/>
          <w:sz w:val="20"/>
          <w:szCs w:val="20"/>
          <w:highlight w:val="white"/>
          <w:vertAlign w:val="baseline"/>
        </w:rPr>
        <w:t xml:space="preserve"> Cumprir as exigências de reserva de cargos prevista em lei, bem como em outras normas  específicas, para pessoa com deficiência, para reabilitado da Previdência Social e para aprendiz</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16.4.</w:t>
      </w:r>
      <w:r>
        <w:rPr>
          <w:rFonts w:eastAsia="Arial" w:cs="Arial" w:ascii="Arial" w:hAnsi="Arial"/>
          <w:position w:val="0"/>
          <w:sz w:val="20"/>
          <w:sz w:val="20"/>
          <w:szCs w:val="20"/>
          <w:highlight w:val="white"/>
          <w:vertAlign w:val="baseline"/>
        </w:rPr>
        <w:t xml:space="preserve"> O CONTRATADO é responsável pelos danos causados decorrentes de sua culpa ou dolo na execução do contrato.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 xml:space="preserve">16.4.1. </w:t>
      </w:r>
      <w:r>
        <w:rPr>
          <w:rFonts w:eastAsia="Arial" w:cs="Arial" w:ascii="Arial" w:hAnsi="Arial"/>
          <w:position w:val="0"/>
          <w:sz w:val="20"/>
          <w:sz w:val="20"/>
          <w:szCs w:val="20"/>
          <w:vertAlign w:val="baseline"/>
        </w:rPr>
        <w:t>O CONTRATADO responderá durante 5 (cinco) anos pela solidez e segurança do trabalho, assim em razão dos materiais, nos termos do artigo 618 do Código Civil Brasileiro.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16.5.</w:t>
      </w:r>
      <w:r>
        <w:rPr>
          <w:rFonts w:eastAsia="Arial" w:cs="Arial" w:ascii="Arial" w:hAnsi="Arial"/>
          <w:position w:val="0"/>
          <w:sz w:val="20"/>
          <w:sz w:val="20"/>
          <w:szCs w:val="20"/>
          <w:highlight w:val="white"/>
          <w:vertAlign w:val="baseline"/>
        </w:rPr>
        <w:t xml:space="preserve"> O CONTRATADO é responsável pelos encargos trabalhistas, previdenciários, fiscais e comerciais resultantes do contrato.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16.5.1.</w:t>
      </w:r>
      <w:r>
        <w:rPr>
          <w:rFonts w:eastAsia="Arial" w:cs="Arial" w:ascii="Arial" w:hAnsi="Arial"/>
          <w:position w:val="0"/>
          <w:sz w:val="20"/>
          <w:sz w:val="20"/>
          <w:szCs w:val="20"/>
          <w:highlight w:val="white"/>
          <w:vertAlign w:val="baseline"/>
        </w:rPr>
        <w:t xml:space="preserve"> A inadimplência do CONTRATADO quanto a esses encargos não transfere ao CONTRATANTE a responsabilidade por seu pagamento, nem poderá onerar o objeto ajustado ou restringir a regularização e uso das edificações, inclusive perante o Registro de Imóveis.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16.5.2.</w:t>
      </w:r>
      <w:r>
        <w:rPr>
          <w:rFonts w:eastAsia="Arial" w:cs="Arial" w:ascii="Arial" w:hAnsi="Arial"/>
          <w:position w:val="0"/>
          <w:sz w:val="20"/>
          <w:sz w:val="20"/>
          <w:szCs w:val="20"/>
          <w:highlight w:val="white"/>
          <w:vertAlign w:val="baseline"/>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16.5.3.</w:t>
      </w:r>
      <w:r>
        <w:rPr>
          <w:rFonts w:eastAsia="Arial" w:cs="Arial" w:ascii="Arial" w:hAnsi="Arial"/>
          <w:position w:val="0"/>
          <w:sz w:val="20"/>
          <w:sz w:val="20"/>
          <w:szCs w:val="20"/>
          <w:highlight w:val="white"/>
          <w:vertAlign w:val="baseline"/>
        </w:rPr>
        <w:t xml:space="preserve"> Para garantir os riscos contra sinistros, o CONTRATADO segurará a obra nova e as ampliações, majorando, progressivamente, o valor desse seguro, antes de cada prestação e entregará a apólice inicial e as adicionais ao CONTRATANTE, a qual ficará investida de poderes "</w:t>
      </w:r>
      <w:r>
        <w:rPr>
          <w:rFonts w:eastAsia="Arial" w:cs="Arial" w:ascii="Arial" w:hAnsi="Arial"/>
          <w:i/>
          <w:position w:val="0"/>
          <w:sz w:val="20"/>
          <w:sz w:val="20"/>
          <w:szCs w:val="20"/>
          <w:highlight w:val="white"/>
          <w:vertAlign w:val="baseline"/>
        </w:rPr>
        <w:t>in rem propriam",</w:t>
      </w:r>
      <w:r>
        <w:rPr>
          <w:rFonts w:eastAsia="Arial" w:cs="Arial" w:ascii="Arial" w:hAnsi="Arial"/>
          <w:position w:val="0"/>
          <w:sz w:val="20"/>
          <w:sz w:val="20"/>
          <w:szCs w:val="20"/>
          <w:highlight w:val="white"/>
          <w:vertAlign w:val="baseline"/>
        </w:rPr>
        <w:t xml:space="preserve"> para receber da companhia seguradora a indenização em caso de sinistro, reembolsando-se das prestações já entregues à CONTRATADA e restituindo-lhe o remanescente, se houver.</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16.5.4.</w:t>
      </w:r>
      <w:r>
        <w:rPr>
          <w:rFonts w:eastAsia="Arial" w:cs="Arial" w:ascii="Arial" w:hAnsi="Arial"/>
          <w:position w:val="0"/>
          <w:sz w:val="20"/>
          <w:sz w:val="20"/>
          <w:szCs w:val="20"/>
          <w:highlight w:val="white"/>
          <w:vertAlign w:val="baseline"/>
        </w:rPr>
        <w:t xml:space="preserve"> O seguro será contratado pelo valor de reposição das obras, aí considerados quaisquer valores que o CONTRATANTE já houver pago à CONTRATADA, a qualquer título, não só as parcelas contratuais, mas também eventuais reajustamentos e serviços extraordinários.</w:t>
      </w:r>
    </w:p>
    <w:p>
      <w:pPr>
        <w:pStyle w:val="Normal"/>
        <w:widowControl w:val="false"/>
        <w:shd w:val="clear" w:fill="FFFFFF"/>
        <w:tabs>
          <w:tab w:val="clear" w:pos="720"/>
          <w:tab w:val="left" w:pos="-7200" w:leader="none"/>
          <w:tab w:val="left" w:pos="-6207" w:leader="none"/>
        </w:tabs>
        <w:spacing w:before="57" w:after="57"/>
        <w:jc w:val="both"/>
        <w:rPr>
          <w:rFonts w:ascii="Arial" w:hAnsi="Arial"/>
          <w:color w:val="FF0000"/>
          <w:sz w:val="20"/>
          <w:szCs w:val="20"/>
        </w:rPr>
      </w:pPr>
      <w:r>
        <w:rPr>
          <w:rFonts w:ascii="Arial" w:hAnsi="Arial"/>
          <w:b/>
          <w:bCs/>
          <w:color w:val="FF0000"/>
          <w:sz w:val="20"/>
          <w:szCs w:val="20"/>
          <w:shd w:fill="FFFFFF" w:val="clear"/>
        </w:rPr>
        <w:t>16.6.</w:t>
      </w:r>
      <w:r>
        <w:rPr>
          <w:rFonts w:ascii="Arial" w:hAnsi="Arial"/>
          <w:color w:val="FF0000"/>
          <w:sz w:val="20"/>
          <w:szCs w:val="20"/>
          <w:shd w:fill="FFFFFF" w:val="clear"/>
        </w:rPr>
        <w:t xml:space="preserve"> O CONTRATADO poderá subcontratar parte da obra ou serviços, mediante consulta e aprovação prévia do CONTRATANTE, sem que tal aprovação implique qualquer aceitação de transferência de responsabilidade.</w:t>
      </w:r>
    </w:p>
    <w:p>
      <w:pPr>
        <w:pStyle w:val="Normal"/>
        <w:widowControl w:val="false"/>
        <w:shd w:val="clear" w:fill="FFFFFF"/>
        <w:tabs>
          <w:tab w:val="clear" w:pos="720"/>
          <w:tab w:val="left" w:pos="-10234" w:leader="none"/>
          <w:tab w:val="left" w:pos="-9241" w:leader="none"/>
        </w:tabs>
        <w:spacing w:before="57" w:after="57"/>
        <w:ind w:left="283"/>
        <w:jc w:val="both"/>
        <w:rPr>
          <w:rFonts w:ascii="Arial" w:hAnsi="Arial"/>
          <w:color w:val="FF0000"/>
          <w:sz w:val="20"/>
          <w:szCs w:val="20"/>
        </w:rPr>
      </w:pPr>
      <w:r>
        <w:rPr>
          <w:rFonts w:ascii="Arial" w:hAnsi="Arial"/>
          <w:b/>
          <w:bCs/>
          <w:color w:val="FF0000"/>
          <w:sz w:val="20"/>
          <w:szCs w:val="20"/>
        </w:rPr>
        <w:t>16.6.1.</w:t>
      </w:r>
      <w:r>
        <w:rPr>
          <w:rFonts w:ascii="Arial" w:hAnsi="Arial"/>
          <w:color w:val="FF0000"/>
          <w:sz w:val="20"/>
          <w:szCs w:val="20"/>
        </w:rPr>
        <w:t xml:space="preserve"> A subcontratação poderá ser feita quando se identifique que não é usual no mercado a existência de empresas que executem de forma integral o objeto pretendido pela Administração, ou quando for usual no mercado próprio a subcontratação de determinados serviços.</w:t>
      </w:r>
    </w:p>
    <w:p>
      <w:pPr>
        <w:pStyle w:val="Normal"/>
        <w:widowControl w:val="false"/>
        <w:shd w:val="clear" w:fill="FFFFFF"/>
        <w:tabs>
          <w:tab w:val="clear" w:pos="720"/>
          <w:tab w:val="left" w:pos="-10234" w:leader="none"/>
          <w:tab w:val="left" w:pos="-9241" w:leader="none"/>
        </w:tabs>
        <w:spacing w:before="57" w:after="57"/>
        <w:ind w:left="283"/>
        <w:jc w:val="both"/>
        <w:rPr>
          <w:rFonts w:ascii="Arial" w:hAnsi="Arial"/>
          <w:sz w:val="20"/>
          <w:szCs w:val="20"/>
        </w:rPr>
      </w:pPr>
      <w:bookmarkStart w:id="15" w:name="_GoBack"/>
      <w:r>
        <w:rPr>
          <w:rFonts w:ascii="Arial" w:hAnsi="Arial"/>
          <w:b/>
          <w:bCs/>
          <w:color w:val="FF0000"/>
          <w:sz w:val="20"/>
          <w:szCs w:val="20"/>
          <w:shd w:fill="auto" w:val="clear"/>
        </w:rPr>
        <w:t>16.6.2.</w:t>
      </w:r>
      <w:r>
        <w:rPr>
          <w:rFonts w:ascii="Arial" w:hAnsi="Arial"/>
          <w:color w:val="FF0000"/>
          <w:sz w:val="20"/>
          <w:szCs w:val="20"/>
          <w:shd w:fill="auto" w:val="clear"/>
        </w:rPr>
        <w:t xml:space="preserve"> Não poderão ser subcontratadas parcelas do objeto para as quais foi exigida, como requisito de habilitação técnico-operacional, a apresentação de atestados que comprovem execução de serviço com características semelhantes;</w:t>
      </w:r>
      <w:bookmarkEnd w:id="15"/>
    </w:p>
    <w:p>
      <w:pPr>
        <w:pStyle w:val="Normal"/>
        <w:widowControl w:val="false"/>
        <w:shd w:val="clear" w:fill="FFFFFF"/>
        <w:tabs>
          <w:tab w:val="clear" w:pos="720"/>
          <w:tab w:val="left" w:pos="-10234" w:leader="none"/>
          <w:tab w:val="left" w:pos="-9241" w:leader="none"/>
        </w:tabs>
        <w:spacing w:before="57" w:after="57"/>
        <w:ind w:left="283"/>
        <w:jc w:val="both"/>
        <w:rPr>
          <w:rFonts w:ascii="Arial" w:hAnsi="Arial"/>
          <w:color w:val="FF0000"/>
          <w:sz w:val="20"/>
          <w:szCs w:val="20"/>
        </w:rPr>
      </w:pPr>
      <w:r>
        <w:rPr>
          <w:rFonts w:ascii="Arial" w:hAnsi="Arial"/>
          <w:b/>
          <w:bCs/>
          <w:color w:val="FF0000"/>
          <w:sz w:val="20"/>
          <w:szCs w:val="20"/>
        </w:rPr>
        <w:t>16.6.3.</w:t>
      </w:r>
      <w:r>
        <w:rPr>
          <w:rFonts w:ascii="Arial" w:hAnsi="Arial"/>
          <w:color w:val="FF0000"/>
          <w:sz w:val="20"/>
          <w:szCs w:val="20"/>
        </w:rPr>
        <w:t xml:space="preserve"> As subcontratadas deverão obedecer </w:t>
      </w:r>
      <w:r>
        <w:rPr>
          <w:rFonts w:ascii="Arial" w:hAnsi="Arial"/>
          <w:color w:val="FF0000"/>
          <w:sz w:val="20"/>
          <w:szCs w:val="20"/>
          <w:shd w:fill="FFFFFF" w:val="clear"/>
        </w:rPr>
        <w:t>rigorosamente ao contrato e partes integrantes, subsistindo perante o CONTRATANTE a integral responsabilidade do CONTRATADO, não podendo esta relação jurídico econômica servir de justificativa para eximir-se das medidas de controle da execução.</w:t>
      </w:r>
    </w:p>
    <w:p>
      <w:pPr>
        <w:pStyle w:val="Normal"/>
        <w:widowControl w:val="false"/>
        <w:shd w:val="clear" w:fill="FFFFFF"/>
        <w:tabs>
          <w:tab w:val="clear" w:pos="720"/>
          <w:tab w:val="left" w:pos="-10234" w:leader="none"/>
          <w:tab w:val="left" w:pos="-9241" w:leader="none"/>
        </w:tabs>
        <w:spacing w:before="57" w:after="57"/>
        <w:ind w:left="283"/>
        <w:jc w:val="both"/>
        <w:rPr>
          <w:rFonts w:ascii="Arial" w:hAnsi="Arial"/>
          <w:sz w:val="20"/>
          <w:szCs w:val="20"/>
        </w:rPr>
      </w:pPr>
      <w:r>
        <w:rPr>
          <w:rFonts w:ascii="Arial" w:hAnsi="Arial"/>
          <w:sz w:val="20"/>
          <w:szCs w:val="20"/>
        </w:rPr>
      </w:r>
    </w:p>
    <w:tbl>
      <w:tblPr>
        <w:tblW w:w="9075" w:type="dxa"/>
        <w:jc w:val="left"/>
        <w:tblInd w:w="29" w:type="dxa"/>
        <w:tblLayout w:type="fixed"/>
        <w:tblCellMar>
          <w:top w:w="55" w:type="dxa"/>
          <w:left w:w="55" w:type="dxa"/>
          <w:bottom w:w="55" w:type="dxa"/>
          <w:right w:w="55" w:type="dxa"/>
        </w:tblCellMar>
      </w:tblPr>
      <w:tblGrid>
        <w:gridCol w:w="9075"/>
      </w:tblGrid>
      <w:tr>
        <w:trPr/>
        <w:tc>
          <w:tcPr>
            <w:tcW w:w="9075" w:type="dxa"/>
            <w:tcBorders>
              <w:top w:val="single" w:sz="2" w:space="0" w:color="000000"/>
              <w:left w:val="single" w:sz="2" w:space="0" w:color="000000"/>
              <w:bottom w:val="single" w:sz="2" w:space="0" w:color="000000"/>
              <w:right w:val="single" w:sz="2" w:space="0" w:color="000000"/>
            </w:tcBorders>
            <w:shd w:fill="FFFF00" w:val="clear"/>
            <w:vAlign w:val="center"/>
          </w:tcPr>
          <w:p>
            <w:pPr>
              <w:pStyle w:val="Normal"/>
              <w:shd w:val="clear" w:fill="FFFF00"/>
              <w:spacing w:before="57" w:after="57"/>
              <w:ind w:hanging="0" w:left="0" w:right="0"/>
              <w:rPr>
                <w:rFonts w:ascii="Arial" w:hAnsi="Arial"/>
                <w:sz w:val="20"/>
                <w:szCs w:val="20"/>
              </w:rPr>
            </w:pPr>
            <w:r>
              <w:rPr>
                <w:rFonts w:ascii="Arial" w:hAnsi="Arial"/>
                <w:b/>
                <w:bCs/>
                <w:color w:val="000000"/>
                <w:sz w:val="20"/>
                <w:szCs w:val="20"/>
              </w:rPr>
              <w:t xml:space="preserve">Nota explicativa </w:t>
            </w:r>
            <w:r>
              <w:rPr>
                <w:rFonts w:ascii="Arial" w:hAnsi="Arial"/>
                <w:b/>
                <w:bCs/>
                <w:color w:val="000000"/>
                <w:sz w:val="20"/>
                <w:szCs w:val="20"/>
              </w:rPr>
              <w:fldChar w:fldCharType="begin"/>
            </w:r>
            <w:r>
              <w:rPr>
                <w:sz w:val="20"/>
                <w:b/>
                <w:szCs w:val="20"/>
                <w:bCs/>
                <w:rFonts w:ascii="Arial" w:hAnsi="Arial"/>
                <w:color w:val="000000"/>
              </w:rPr>
              <w:instrText xml:space="preserve"> SEQ Desenho \* ARABIC </w:instrText>
            </w:r>
            <w:r>
              <w:rPr>
                <w:sz w:val="20"/>
                <w:b/>
                <w:szCs w:val="20"/>
                <w:bCs/>
                <w:rFonts w:ascii="Arial" w:hAnsi="Arial"/>
                <w:color w:val="000000"/>
              </w:rPr>
              <w:fldChar w:fldCharType="separate"/>
            </w:r>
            <w:r>
              <w:rPr>
                <w:sz w:val="20"/>
                <w:b/>
                <w:szCs w:val="20"/>
                <w:bCs/>
                <w:rFonts w:ascii="Arial" w:hAnsi="Arial"/>
                <w:color w:val="000000"/>
              </w:rPr>
              <w:t>35</w:t>
            </w:r>
            <w:r>
              <w:rPr>
                <w:sz w:val="20"/>
                <w:b/>
                <w:szCs w:val="20"/>
                <w:bCs/>
                <w:rFonts w:ascii="Arial" w:hAnsi="Arial"/>
                <w:color w:val="000000"/>
              </w:rPr>
              <w:fldChar w:fldCharType="end"/>
            </w:r>
            <w:r>
              <w:rPr>
                <w:rFonts w:ascii="Arial" w:hAnsi="Arial"/>
                <w:b/>
                <w:bCs/>
                <w:color w:val="000000"/>
                <w:sz w:val="20"/>
                <w:szCs w:val="20"/>
              </w:rPr>
              <w:t>:</w:t>
            </w:r>
          </w:p>
          <w:p>
            <w:pPr>
              <w:pStyle w:val="Normal"/>
              <w:shd w:val="clear" w:fill="FFFF00"/>
              <w:spacing w:before="57" w:after="57"/>
              <w:jc w:val="both"/>
              <w:rPr>
                <w:rFonts w:ascii="Arial" w:hAnsi="Arial"/>
                <w:b/>
                <w:bCs/>
                <w:color w:val="000000"/>
                <w:sz w:val="20"/>
                <w:szCs w:val="20"/>
              </w:rPr>
            </w:pPr>
            <w:r>
              <w:rPr>
                <w:rFonts w:ascii="Arial" w:hAnsi="Arial"/>
                <w:b/>
                <w:bCs/>
                <w:color w:val="000000"/>
                <w:sz w:val="20"/>
                <w:szCs w:val="20"/>
              </w:rPr>
              <w:t>(Obs. As notas explicativas são meramente orientativas. Portanto, devem ser excluídas do edital a ser publicado)</w:t>
            </w:r>
          </w:p>
          <w:p>
            <w:pPr>
              <w:pStyle w:val="Normal"/>
              <w:shd w:val="clear" w:fill="FFFF00"/>
              <w:spacing w:before="57" w:after="57"/>
              <w:jc w:val="both"/>
              <w:rPr>
                <w:rFonts w:ascii="Arial" w:hAnsi="Arial"/>
                <w:b/>
                <w:bCs/>
                <w:color w:val="000000"/>
                <w:sz w:val="20"/>
                <w:szCs w:val="20"/>
              </w:rPr>
            </w:pPr>
            <w:r>
              <w:rPr>
                <w:rFonts w:ascii="Arial" w:hAnsi="Arial"/>
                <w:b/>
                <w:bCs/>
                <w:color w:val="000000"/>
                <w:sz w:val="20"/>
                <w:szCs w:val="20"/>
              </w:rPr>
            </w:r>
          </w:p>
          <w:p>
            <w:pPr>
              <w:pStyle w:val="Normal"/>
              <w:shd w:val="clear" w:fill="FFFF00"/>
              <w:spacing w:before="57" w:after="57"/>
              <w:jc w:val="both"/>
              <w:rPr>
                <w:rFonts w:ascii="Arial" w:hAnsi="Arial"/>
                <w:sz w:val="20"/>
                <w:szCs w:val="20"/>
              </w:rPr>
            </w:pPr>
            <w:r>
              <w:rPr>
                <w:rFonts w:ascii="Arial" w:hAnsi="Arial"/>
                <w:color w:val="000000"/>
                <w:sz w:val="20"/>
                <w:szCs w:val="20"/>
              </w:rPr>
              <w:t xml:space="preserve">A subcontratação parcial é permitida e deverá ser analisada pela Administração com base nas informações </w:t>
            </w:r>
            <w:r>
              <w:rPr>
                <w:rFonts w:ascii="Arial" w:hAnsi="Arial"/>
                <w:color w:val="000000"/>
                <w:sz w:val="20"/>
                <w:szCs w:val="20"/>
                <w:lang w:eastAsia="en-US"/>
              </w:rPr>
              <w:t>contidas no estudo técnico preliminar</w:t>
            </w:r>
            <w:r>
              <w:rPr>
                <w:rFonts w:ascii="Arial" w:hAnsi="Arial"/>
                <w:color w:val="000000"/>
                <w:sz w:val="20"/>
                <w:szCs w:val="20"/>
              </w:rPr>
              <w:t>, em cada caso concreto. Caso admitida, devem ficar definidas no contrato quais as parcelas do objeto aptas a serem subcontratadas, assim como quais os seus limites e condições, conforme disposição do art. 167, § 4º, do Decreto Estadual nº 10.086/2022.</w:t>
            </w:r>
          </w:p>
          <w:p>
            <w:pPr>
              <w:pStyle w:val="Normal"/>
              <w:shd w:val="clear" w:fill="FFFF00"/>
              <w:spacing w:before="57" w:after="57"/>
              <w:jc w:val="both"/>
              <w:rPr>
                <w:rFonts w:ascii="Arial" w:hAnsi="Arial"/>
                <w:sz w:val="20"/>
                <w:szCs w:val="20"/>
              </w:rPr>
            </w:pPr>
            <w:r>
              <w:rPr>
                <w:rFonts w:ascii="Arial" w:hAnsi="Arial"/>
                <w:color w:val="000000"/>
                <w:sz w:val="20"/>
                <w:szCs w:val="20"/>
              </w:rPr>
              <w:t xml:space="preserve">Preferencialmente, caso seja permitida a subcontratação, deverão ser indicadas as parcelas a serem subcontratadas. Desse modo, deverá ser adicionado o item </w:t>
            </w:r>
            <w:r>
              <w:rPr>
                <w:rFonts w:ascii="Arial" w:hAnsi="Arial"/>
                <w:b/>
                <w:bCs/>
                <w:color w:val="000000"/>
                <w:sz w:val="20"/>
                <w:szCs w:val="20"/>
              </w:rPr>
              <w:t>16.6.4</w:t>
            </w:r>
            <w:r>
              <w:rPr>
                <w:rFonts w:ascii="Arial" w:hAnsi="Arial"/>
                <w:color w:val="000000"/>
                <w:sz w:val="20"/>
                <w:szCs w:val="20"/>
              </w:rPr>
              <w:t>, com o seguinte texto:</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ind w:left="283"/>
              <w:jc w:val="both"/>
              <w:rPr>
                <w:rFonts w:ascii="Arial" w:hAnsi="Arial"/>
                <w:sz w:val="20"/>
                <w:szCs w:val="20"/>
              </w:rPr>
            </w:pPr>
            <w:r>
              <w:rPr>
                <w:rFonts w:ascii="Arial" w:hAnsi="Arial"/>
                <w:b/>
                <w:bCs/>
                <w:color w:val="000000"/>
                <w:sz w:val="20"/>
                <w:szCs w:val="20"/>
              </w:rPr>
              <w:t>16.6.4.</w:t>
            </w:r>
            <w:r>
              <w:rPr>
                <w:rFonts w:ascii="Arial" w:hAnsi="Arial"/>
                <w:color w:val="000000"/>
                <w:sz w:val="20"/>
                <w:szCs w:val="20"/>
              </w:rPr>
              <w:t xml:space="preserve"> O CONTRATADO poderá subcontratar parte da obra ou serviços, referente(s) à(s) seguinte(s) parcela(s):</w:t>
            </w:r>
          </w:p>
          <w:p>
            <w:pPr>
              <w:pStyle w:val="Normal"/>
              <w:shd w:val="clear" w:fill="FFFF00"/>
              <w:spacing w:before="57" w:after="57"/>
              <w:ind w:left="283"/>
              <w:jc w:val="both"/>
              <w:rPr>
                <w:rFonts w:ascii="Arial" w:hAnsi="Arial"/>
                <w:color w:val="000000"/>
                <w:sz w:val="20"/>
                <w:szCs w:val="20"/>
              </w:rPr>
            </w:pPr>
            <w:r>
              <w:rPr>
                <w:rFonts w:ascii="Arial" w:hAnsi="Arial"/>
                <w:color w:val="000000"/>
                <w:sz w:val="20"/>
                <w:szCs w:val="20"/>
              </w:rPr>
              <w:t>a) (Especificar qual parcela do objeto poderá ser subcontratada);</w:t>
            </w:r>
          </w:p>
          <w:p>
            <w:pPr>
              <w:pStyle w:val="Normal"/>
              <w:shd w:val="clear" w:fill="FFFF00"/>
              <w:spacing w:before="57" w:after="57"/>
              <w:ind w:left="283"/>
              <w:jc w:val="both"/>
              <w:rPr>
                <w:rFonts w:ascii="Arial" w:hAnsi="Arial"/>
                <w:color w:val="000000"/>
                <w:sz w:val="20"/>
                <w:szCs w:val="20"/>
              </w:rPr>
            </w:pPr>
            <w:r>
              <w:rPr>
                <w:rFonts w:ascii="Arial" w:hAnsi="Arial"/>
                <w:color w:val="000000"/>
                <w:sz w:val="20"/>
                <w:szCs w:val="20"/>
              </w:rPr>
              <w:t>b) (Especificar qual parcela do objeto poderá ser subcontratada);</w:t>
            </w:r>
          </w:p>
          <w:p>
            <w:pPr>
              <w:pStyle w:val="Normal"/>
              <w:shd w:val="clear" w:fill="FFFF00"/>
              <w:spacing w:before="57" w:after="57"/>
              <w:ind w:left="283"/>
              <w:jc w:val="both"/>
              <w:rPr>
                <w:rFonts w:ascii="Arial" w:hAnsi="Arial"/>
                <w:color w:val="000000"/>
                <w:sz w:val="20"/>
                <w:szCs w:val="20"/>
              </w:rPr>
            </w:pPr>
            <w:r>
              <w:rPr>
                <w:rFonts w:ascii="Arial" w:hAnsi="Arial"/>
                <w:color w:val="000000"/>
                <w:sz w:val="20"/>
                <w:szCs w:val="20"/>
              </w:rPr>
              <w:t>c) (Especificar qual parcela do objeto poderá ser subcontratada);</w:t>
            </w:r>
          </w:p>
          <w:p>
            <w:pPr>
              <w:pStyle w:val="Normal"/>
              <w:shd w:val="clear" w:fill="FFFF00"/>
              <w:spacing w:before="57" w:after="57"/>
              <w:ind w:left="283"/>
              <w:jc w:val="both"/>
              <w:rPr>
                <w:rFonts w:ascii="Arial" w:hAnsi="Arial"/>
                <w:sz w:val="20"/>
                <w:szCs w:val="20"/>
              </w:rPr>
            </w:pPr>
            <w:r>
              <w:rPr>
                <w:rFonts w:ascii="Arial" w:hAnsi="Arial"/>
                <w:color w:val="000000"/>
                <w:sz w:val="20"/>
                <w:szCs w:val="20"/>
              </w:rPr>
              <w:t>d) (Especificar qual parcela do objeto poderá ser subcontratada);</w:t>
            </w:r>
          </w:p>
          <w:p>
            <w:pPr>
              <w:pStyle w:val="Normal"/>
              <w:shd w:val="clear" w:fill="FFFF00"/>
              <w:spacing w:before="57" w:after="57"/>
              <w:ind w:left="283"/>
              <w:jc w:val="both"/>
              <w:rPr>
                <w:rFonts w:ascii="Arial" w:hAnsi="Arial"/>
                <w:color w:val="000000"/>
                <w:sz w:val="20"/>
                <w:szCs w:val="20"/>
              </w:rPr>
            </w:pPr>
            <w:r>
              <w:rPr>
                <w:rFonts w:ascii="Arial" w:hAnsi="Arial"/>
                <w:color w:val="000000"/>
                <w:sz w:val="20"/>
                <w:szCs w:val="20"/>
              </w:rPr>
              <w:t>e) (Especificar qual parcela do objeto poderá ser subcontratada);</w:t>
            </w:r>
          </w:p>
          <w:p>
            <w:pPr>
              <w:pStyle w:val="Normal"/>
              <w:shd w:val="clear" w:fill="FFFF00"/>
              <w:spacing w:before="57" w:after="57"/>
              <w:ind w:left="283"/>
              <w:jc w:val="both"/>
              <w:rPr>
                <w:rFonts w:ascii="Arial" w:hAnsi="Arial"/>
                <w:color w:val="000000"/>
                <w:sz w:val="20"/>
                <w:szCs w:val="20"/>
              </w:rPr>
            </w:pPr>
            <w:r>
              <w:rPr>
                <w:rFonts w:ascii="Arial" w:hAnsi="Arial"/>
                <w:color w:val="000000"/>
                <w:sz w:val="20"/>
                <w:szCs w:val="20"/>
              </w:rPr>
            </w:r>
          </w:p>
          <w:p>
            <w:pPr>
              <w:pStyle w:val="Normal"/>
              <w:shd w:val="clear" w:fill="FFFF00"/>
              <w:spacing w:before="57" w:after="57"/>
              <w:jc w:val="both"/>
              <w:rPr>
                <w:rFonts w:ascii="Arial" w:hAnsi="Arial"/>
                <w:color w:val="000000"/>
                <w:sz w:val="20"/>
                <w:szCs w:val="20"/>
              </w:rPr>
            </w:pPr>
            <w:r>
              <w:rPr>
                <w:rFonts w:ascii="Arial" w:hAnsi="Arial"/>
                <w:color w:val="000000"/>
                <w:sz w:val="20"/>
                <w:szCs w:val="20"/>
              </w:rPr>
              <w:t xml:space="preserve">Caso não seja possível definir quais as parcelas serão subcontratadas, há a possibilidade de que se  defina o limite em relação ao valor total, em termos percentuais, que poderá ser subcontratado. Neste sentido, deverá ser adotada a seguinte redação para o item </w:t>
            </w:r>
            <w:r>
              <w:rPr>
                <w:rFonts w:ascii="Arial" w:hAnsi="Arial"/>
                <w:b/>
                <w:bCs/>
                <w:color w:val="000000"/>
                <w:sz w:val="20"/>
                <w:szCs w:val="20"/>
              </w:rPr>
              <w:t>16.6.4</w:t>
            </w:r>
            <w:r>
              <w:rPr>
                <w:rFonts w:ascii="Arial" w:hAnsi="Arial"/>
                <w:color w:val="000000"/>
                <w:sz w:val="20"/>
                <w:szCs w:val="20"/>
              </w:rPr>
              <w:t>:</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ind w:left="283"/>
              <w:jc w:val="both"/>
              <w:rPr>
                <w:rFonts w:ascii="Arial" w:hAnsi="Arial"/>
                <w:sz w:val="20"/>
                <w:szCs w:val="20"/>
              </w:rPr>
            </w:pPr>
            <w:r>
              <w:rPr>
                <w:rFonts w:ascii="Arial" w:hAnsi="Arial"/>
                <w:b/>
                <w:bCs/>
                <w:color w:val="000000"/>
                <w:sz w:val="20"/>
                <w:szCs w:val="20"/>
              </w:rPr>
              <w:t xml:space="preserve">16.6.4. </w:t>
            </w:r>
            <w:r>
              <w:rPr>
                <w:rFonts w:ascii="Arial" w:hAnsi="Arial"/>
                <w:color w:val="000000"/>
                <w:sz w:val="20"/>
                <w:szCs w:val="20"/>
              </w:rPr>
              <w:t>O CONTRATADO poderá subcontratar parte da obra ou serviços, até o limite de xx,xx% (xxxx por cento) do valor total.</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jc w:val="both"/>
              <w:rPr>
                <w:rFonts w:ascii="Arial" w:hAnsi="Arial"/>
                <w:sz w:val="20"/>
                <w:szCs w:val="20"/>
              </w:rPr>
            </w:pPr>
            <w:r>
              <w:rPr>
                <w:rFonts w:ascii="Arial" w:hAnsi="Arial"/>
                <w:b/>
                <w:bCs/>
                <w:color w:val="000000"/>
                <w:sz w:val="20"/>
                <w:szCs w:val="20"/>
                <w:u w:val="single"/>
              </w:rPr>
              <w:t>Caso seja aventada a subcontratação de parte passível de qualificação técnica</w:t>
            </w:r>
            <w:r>
              <w:rPr>
                <w:rFonts w:ascii="Arial" w:hAnsi="Arial"/>
                <w:color w:val="000000"/>
                <w:sz w:val="20"/>
                <w:szCs w:val="20"/>
              </w:rPr>
              <w:t xml:space="preserve">, deverá constar na minuta contratual a descrição da capacidade técnica a ser exigida das subcontratadas, assim como a documentação que servirá para comprovar essa capacidade técnica do subcontratado. Neste sentido, o item </w:t>
            </w:r>
            <w:r>
              <w:rPr>
                <w:rFonts w:ascii="Arial" w:hAnsi="Arial"/>
                <w:b/>
                <w:bCs/>
                <w:color w:val="000000"/>
                <w:sz w:val="20"/>
                <w:szCs w:val="20"/>
              </w:rPr>
              <w:t>16.6.2</w:t>
            </w:r>
            <w:r>
              <w:rPr>
                <w:rFonts w:ascii="Arial" w:hAnsi="Arial"/>
                <w:color w:val="000000"/>
                <w:sz w:val="20"/>
                <w:szCs w:val="20"/>
              </w:rPr>
              <w:t xml:space="preserve"> deverá ser substituído pelo seguinte texto:</w:t>
            </w:r>
          </w:p>
          <w:p>
            <w:pPr>
              <w:pStyle w:val="Normal"/>
              <w:shd w:val="clear" w:fill="FFFF00"/>
              <w:spacing w:before="57" w:after="57"/>
              <w:ind w:left="283"/>
              <w:jc w:val="both"/>
              <w:rPr>
                <w:rFonts w:ascii="Arial" w:hAnsi="Arial"/>
                <w:color w:val="000000"/>
                <w:sz w:val="20"/>
                <w:szCs w:val="20"/>
              </w:rPr>
            </w:pPr>
            <w:r>
              <w:rPr>
                <w:rFonts w:ascii="Arial" w:hAnsi="Arial"/>
                <w:color w:val="000000"/>
                <w:sz w:val="20"/>
                <w:szCs w:val="20"/>
              </w:rPr>
            </w:r>
          </w:p>
          <w:p>
            <w:pPr>
              <w:pStyle w:val="Normal"/>
              <w:shd w:val="clear" w:fill="FFFF00"/>
              <w:spacing w:before="57" w:after="57"/>
              <w:ind w:left="283"/>
              <w:jc w:val="both"/>
              <w:rPr>
                <w:rFonts w:ascii="Arial" w:hAnsi="Arial"/>
                <w:sz w:val="20"/>
                <w:szCs w:val="20"/>
              </w:rPr>
            </w:pPr>
            <w:r>
              <w:rPr>
                <w:rFonts w:ascii="Arial" w:hAnsi="Arial"/>
                <w:b/>
                <w:bCs/>
                <w:color w:val="000000"/>
                <w:sz w:val="20"/>
                <w:szCs w:val="20"/>
                <w:shd w:fill="FFFF00" w:val="clear"/>
              </w:rPr>
              <w:t xml:space="preserve">16.6.2. </w:t>
            </w:r>
            <w:r>
              <w:rPr>
                <w:rFonts w:ascii="Arial" w:hAnsi="Arial"/>
                <w:color w:val="000000"/>
                <w:sz w:val="20"/>
                <w:szCs w:val="20"/>
                <w:shd w:fill="FFFF00" w:val="clear"/>
              </w:rPr>
              <w:t>O CONTRATADO deverá apresentar ao CONTRATANTE a seguinte documentação que comprove a capacidade técnica do subcontratado, que será avaliada e juntada aos autos do processo correspondente:</w:t>
            </w:r>
          </w:p>
          <w:p>
            <w:pPr>
              <w:pStyle w:val="Normal"/>
              <w:shd w:val="clear" w:fill="FFFF00"/>
              <w:spacing w:before="57" w:after="57"/>
              <w:ind w:left="283"/>
              <w:jc w:val="both"/>
              <w:rPr>
                <w:rFonts w:ascii="Arial" w:hAnsi="Arial"/>
                <w:color w:val="000000"/>
                <w:sz w:val="20"/>
                <w:szCs w:val="20"/>
                <w:shd w:fill="FFFF00" w:val="clear"/>
              </w:rPr>
            </w:pPr>
            <w:r>
              <w:rPr>
                <w:rFonts w:ascii="Arial" w:hAnsi="Arial"/>
                <w:color w:val="000000"/>
                <w:sz w:val="20"/>
                <w:szCs w:val="20"/>
                <w:shd w:fill="FFFF00" w:val="clear"/>
              </w:rPr>
              <w:t>a) (preencher quais documentos serão exigidos para comprovação da capacidade técnica do subcontratado);</w:t>
            </w:r>
          </w:p>
          <w:p>
            <w:pPr>
              <w:pStyle w:val="Normal"/>
              <w:shd w:val="clear" w:fill="FFFF00"/>
              <w:spacing w:before="57" w:after="57"/>
              <w:ind w:left="283"/>
              <w:jc w:val="both"/>
              <w:rPr>
                <w:rFonts w:ascii="Arial" w:hAnsi="Arial"/>
                <w:sz w:val="20"/>
                <w:szCs w:val="20"/>
              </w:rPr>
            </w:pPr>
            <w:r>
              <w:rPr>
                <w:rFonts w:ascii="Arial" w:hAnsi="Arial"/>
                <w:sz w:val="20"/>
                <w:szCs w:val="20"/>
                <w:shd w:fill="FFFF00" w:val="clear"/>
              </w:rPr>
              <w:t xml:space="preserve">b) </w:t>
            </w:r>
            <w:r>
              <w:rPr>
                <w:rFonts w:ascii="Arial" w:hAnsi="Arial"/>
                <w:color w:val="000000"/>
                <w:sz w:val="20"/>
                <w:szCs w:val="20"/>
                <w:shd w:fill="FFFF00" w:val="clear"/>
              </w:rPr>
              <w:t>(preencher quais documentos serão exigidos para comprovação da capacidade técnica do subcontratado);</w:t>
            </w:r>
          </w:p>
          <w:p>
            <w:pPr>
              <w:pStyle w:val="Normal"/>
              <w:shd w:val="clear" w:fill="FFFF00"/>
              <w:spacing w:before="57" w:after="57"/>
              <w:ind w:left="283"/>
              <w:jc w:val="both"/>
              <w:rPr>
                <w:rFonts w:ascii="Arial" w:hAnsi="Arial"/>
                <w:color w:val="000000"/>
                <w:sz w:val="20"/>
                <w:szCs w:val="20"/>
                <w:shd w:fill="FFFF00" w:val="clear"/>
              </w:rPr>
            </w:pPr>
            <w:r>
              <w:rPr>
                <w:rFonts w:ascii="Arial" w:hAnsi="Arial"/>
                <w:color w:val="000000"/>
                <w:sz w:val="20"/>
                <w:szCs w:val="20"/>
                <w:shd w:fill="FFFF00" w:val="clear"/>
              </w:rPr>
              <w:t>c) (preencher quais documentos serão exigidos para comprovação da capacidade técnica do subcontratado);</w:t>
            </w:r>
          </w:p>
          <w:p>
            <w:pPr>
              <w:pStyle w:val="Normal"/>
              <w:shd w:val="clear" w:fill="FFFF00"/>
              <w:spacing w:before="57" w:after="57"/>
              <w:ind w:left="283"/>
              <w:jc w:val="both"/>
              <w:rPr>
                <w:rFonts w:ascii="Arial" w:hAnsi="Arial"/>
                <w:color w:val="000000"/>
                <w:sz w:val="20"/>
                <w:szCs w:val="20"/>
                <w:shd w:fill="FFFF00" w:val="clear"/>
              </w:rPr>
            </w:pPr>
            <w:r>
              <w:rPr>
                <w:rFonts w:ascii="Arial" w:hAnsi="Arial"/>
                <w:color w:val="000000"/>
                <w:sz w:val="20"/>
                <w:szCs w:val="20"/>
                <w:shd w:fill="FFFF00" w:val="clear"/>
              </w:rPr>
              <w:t>d) (preencher quais documentos serão exigidos para comprovação da capacidade técnica do subcontratado);</w:t>
            </w:r>
          </w:p>
          <w:p>
            <w:pPr>
              <w:pStyle w:val="Normal"/>
              <w:shd w:val="clear" w:fill="FFFF00"/>
              <w:spacing w:before="57" w:after="57"/>
              <w:ind w:left="283"/>
              <w:jc w:val="both"/>
              <w:rPr>
                <w:rFonts w:ascii="Arial" w:hAnsi="Arial"/>
                <w:color w:val="000000"/>
                <w:sz w:val="20"/>
                <w:szCs w:val="20"/>
                <w:shd w:fill="FFFF00" w:val="clear"/>
              </w:rPr>
            </w:pPr>
            <w:r>
              <w:rPr>
                <w:rFonts w:ascii="Arial" w:hAnsi="Arial"/>
                <w:color w:val="000000"/>
                <w:sz w:val="20"/>
                <w:szCs w:val="20"/>
                <w:shd w:fill="FFFF00" w:val="clear"/>
              </w:rPr>
              <w:t>e) (preencher quais documentos serão exigidos para comprovação da capacidade técnica do subcontratado).</w:t>
            </w:r>
          </w:p>
          <w:p>
            <w:pPr>
              <w:pStyle w:val="Normal"/>
              <w:shd w:val="clear" w:fill="FFFF00"/>
              <w:spacing w:before="57" w:after="57"/>
              <w:ind w:left="283"/>
              <w:jc w:val="both"/>
              <w:rPr>
                <w:rFonts w:ascii="Arial" w:hAnsi="Arial"/>
                <w:color w:val="000000"/>
                <w:sz w:val="20"/>
                <w:szCs w:val="20"/>
                <w:shd w:fill="FFFF00" w:val="clear"/>
              </w:rPr>
            </w:pPr>
            <w:r>
              <w:rPr>
                <w:rFonts w:ascii="Arial" w:hAnsi="Arial"/>
                <w:color w:val="000000"/>
                <w:sz w:val="20"/>
                <w:szCs w:val="20"/>
                <w:shd w:fill="FFFF00" w:val="clear"/>
              </w:rPr>
            </w:r>
          </w:p>
          <w:p>
            <w:pPr>
              <w:pStyle w:val="Normal"/>
              <w:shd w:val="clear" w:fill="FFFF00"/>
              <w:spacing w:before="57" w:after="57"/>
              <w:jc w:val="both"/>
              <w:rPr>
                <w:rFonts w:ascii="Arial" w:hAnsi="Arial"/>
                <w:color w:val="000000"/>
                <w:sz w:val="20"/>
                <w:szCs w:val="20"/>
              </w:rPr>
            </w:pPr>
            <w:r>
              <w:rPr>
                <w:rFonts w:ascii="Arial" w:hAnsi="Arial"/>
                <w:color w:val="000000"/>
                <w:sz w:val="20"/>
                <w:szCs w:val="20"/>
              </w:rPr>
              <w:t>Deve haver na instrução do procedimento licitatório as devidas justificativas técnicas da subcontratação. Além disso, caso seja cobrada a comprovação de capacidade técnica da subcontratada, deverá restar justificado o motivo da exigência da respectiva capacidade técnica de cada parcela do objeto ou em relação ao percentual limite para a subcontratação.</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jc w:val="both"/>
              <w:rPr>
                <w:rFonts w:ascii="Arial" w:hAnsi="Arial"/>
                <w:sz w:val="20"/>
                <w:szCs w:val="20"/>
              </w:rPr>
            </w:pPr>
            <w:r>
              <w:rPr>
                <w:rFonts w:ascii="Arial" w:hAnsi="Arial"/>
                <w:color w:val="000000"/>
                <w:sz w:val="20"/>
                <w:szCs w:val="20"/>
              </w:rPr>
              <w:t xml:space="preserve">É importante verificar que </w:t>
            </w:r>
            <w:r>
              <w:rPr>
                <w:rFonts w:ascii="Arial" w:hAnsi="Arial"/>
                <w:b/>
                <w:bCs/>
                <w:color w:val="000000"/>
                <w:sz w:val="20"/>
                <w:szCs w:val="20"/>
                <w:u w:val="single"/>
              </w:rPr>
              <w:t>são vedadas</w:t>
            </w:r>
            <w:r>
              <w:rPr>
                <w:rFonts w:ascii="Arial" w:hAnsi="Arial"/>
                <w:color w:val="000000"/>
                <w:sz w:val="20"/>
                <w:szCs w:val="20"/>
              </w:rPr>
              <w:t xml:space="preserve"> (i) a subcontratação integral (ii); a exigência no contrato de subcontratação  de itens ou parcelas determinadas ou de empresas específicas; </w:t>
            </w:r>
            <w:r>
              <w:rPr>
                <w:rFonts w:ascii="Arial" w:hAnsi="Arial"/>
                <w:color w:val="000000"/>
                <w:sz w:val="20"/>
                <w:szCs w:val="20"/>
                <w:shd w:fill="FFFF00" w:val="clear"/>
              </w:rPr>
              <w:t>(iii) a prova de capacidade técnica das subcontratadas em relação a parcelas do objeto que não são passíveis de qualificação técnica;</w:t>
            </w:r>
            <w:r>
              <w:rPr>
                <w:rFonts w:ascii="Arial" w:hAnsi="Arial"/>
                <w:color w:val="000000"/>
                <w:sz w:val="20"/>
                <w:szCs w:val="20"/>
              </w:rPr>
              <w:t xml:space="preserve"> (iv) a subcontratação de microempresas e empresas de pequeno porte que tenham participando da licitação; e (iv) a subcontratação de microempresas ou empresas de pequeno porte que tenham um ou mais sócios em comum com a empresa contratante.</w:t>
            </w:r>
          </w:p>
          <w:p>
            <w:pPr>
              <w:pStyle w:val="Normal"/>
              <w:shd w:val="clear" w:fill="FFFF00"/>
              <w:spacing w:before="57" w:after="57"/>
              <w:jc w:val="both"/>
              <w:rPr>
                <w:color w:val="000000"/>
                <w:lang w:eastAsia="en-US"/>
              </w:rPr>
            </w:pPr>
            <w:r>
              <w:rPr>
                <w:color w:val="000000"/>
                <w:lang w:eastAsia="en-US"/>
              </w:rPr>
            </w:r>
          </w:p>
          <w:p>
            <w:pPr>
              <w:pStyle w:val="Normal"/>
              <w:shd w:val="clear" w:fill="FFFF00"/>
              <w:spacing w:before="57" w:after="57"/>
              <w:jc w:val="both"/>
              <w:rPr>
                <w:rFonts w:ascii="Arial" w:hAnsi="Arial"/>
                <w:sz w:val="20"/>
                <w:szCs w:val="20"/>
              </w:rPr>
            </w:pPr>
            <w:r>
              <w:rPr>
                <w:rFonts w:ascii="Arial" w:hAnsi="Arial"/>
                <w:color w:val="000000"/>
                <w:sz w:val="20"/>
                <w:szCs w:val="20"/>
              </w:rPr>
              <w:t xml:space="preserve">Caso a subcontratação não seja admitida, deverá ser adotada a seguinte redação para o item </w:t>
            </w:r>
            <w:r>
              <w:rPr>
                <w:rFonts w:ascii="Arial" w:hAnsi="Arial"/>
                <w:b/>
                <w:bCs/>
                <w:color w:val="000000"/>
                <w:sz w:val="20"/>
                <w:szCs w:val="20"/>
              </w:rPr>
              <w:t>16.6</w:t>
            </w:r>
            <w:r>
              <w:rPr>
                <w:rFonts w:ascii="Arial" w:hAnsi="Arial"/>
                <w:color w:val="000000"/>
                <w:sz w:val="20"/>
                <w:szCs w:val="20"/>
              </w:rPr>
              <w:t>:</w:t>
            </w:r>
          </w:p>
          <w:p>
            <w:pPr>
              <w:pStyle w:val="Normal"/>
              <w:shd w:val="clear" w:fill="FFFF00"/>
              <w:spacing w:before="57" w:after="57"/>
              <w:ind w:left="283"/>
              <w:jc w:val="both"/>
              <w:rPr>
                <w:color w:val="000000"/>
                <w:lang w:eastAsia="en-US"/>
              </w:rPr>
            </w:pPr>
            <w:r>
              <w:rPr>
                <w:color w:val="000000"/>
                <w:lang w:eastAsia="en-US"/>
              </w:rPr>
            </w:r>
          </w:p>
          <w:p>
            <w:pPr>
              <w:pStyle w:val="Normal"/>
              <w:shd w:val="clear" w:fill="FFFF00"/>
              <w:spacing w:before="57" w:after="57"/>
              <w:ind w:left="283"/>
              <w:jc w:val="both"/>
              <w:rPr>
                <w:rFonts w:ascii="Arial" w:hAnsi="Arial"/>
                <w:sz w:val="20"/>
                <w:szCs w:val="20"/>
              </w:rPr>
            </w:pPr>
            <w:r>
              <w:rPr>
                <w:rFonts w:ascii="Arial" w:hAnsi="Arial"/>
                <w:b/>
                <w:bCs/>
                <w:color w:val="000000"/>
                <w:sz w:val="20"/>
                <w:szCs w:val="20"/>
                <w:lang w:eastAsia="en-US"/>
              </w:rPr>
              <w:t xml:space="preserve">16.6. </w:t>
            </w:r>
            <w:r>
              <w:rPr>
                <w:rFonts w:ascii="Arial" w:hAnsi="Arial"/>
                <w:b w:val="false"/>
                <w:bCs w:val="false"/>
                <w:color w:val="000000"/>
                <w:sz w:val="20"/>
                <w:szCs w:val="20"/>
                <w:lang w:eastAsia="en-US"/>
              </w:rPr>
              <w:t>O CONTRATADO não poderá subcontratar parte ou o todo da obra ou dos serviços.</w:t>
            </w:r>
          </w:p>
        </w:tc>
      </w:tr>
    </w:tbl>
    <w:p>
      <w:pPr>
        <w:pStyle w:val="Normal"/>
        <w:widowControl w:val="false"/>
        <w:shd w:val="clear" w:fill="FFFFFF"/>
        <w:tabs>
          <w:tab w:val="clear" w:pos="720"/>
          <w:tab w:val="left" w:pos="-7200" w:leader="none"/>
          <w:tab w:val="left" w:pos="-6207" w:leader="none"/>
        </w:tabs>
        <w:spacing w:before="57" w:after="57"/>
        <w:rPr>
          <w:rFonts w:ascii="Arial" w:hAnsi="Arial"/>
          <w:sz w:val="20"/>
          <w:szCs w:val="20"/>
          <w:highlight w:val="white"/>
        </w:rPr>
      </w:pPr>
      <w:r>
        <w:rPr>
          <w:rFonts w:ascii="Arial" w:hAnsi="Arial"/>
          <w:sz w:val="20"/>
          <w:szCs w:val="20"/>
          <w:highlight w:val="white"/>
        </w:rPr>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16.7.</w:t>
      </w:r>
      <w:r>
        <w:rPr>
          <w:rFonts w:eastAsia="Arial" w:cs="Arial" w:ascii="Arial" w:hAnsi="Arial"/>
          <w:position w:val="0"/>
          <w:sz w:val="20"/>
          <w:sz w:val="20"/>
          <w:szCs w:val="20"/>
          <w:highlight w:val="white"/>
          <w:vertAlign w:val="baseline"/>
        </w:rPr>
        <w:t xml:space="preserve"> O CONTRATADO fica obrigada a utilizar produtos ou subprodutos de madeira de origem exótica ou nativa que tenham procedência legal;</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16.7.1.</w:t>
      </w:r>
      <w:r>
        <w:rPr>
          <w:rFonts w:eastAsia="Arial" w:cs="Arial" w:ascii="Arial" w:hAnsi="Arial"/>
          <w:position w:val="0"/>
          <w:sz w:val="20"/>
          <w:sz w:val="20"/>
          <w:szCs w:val="20"/>
          <w:highlight w:val="white"/>
          <w:vertAlign w:val="baseline"/>
        </w:rPr>
        <w:t xml:space="preserve"> Em cada medição, como condição para recebimento das obras ou serviços de engenharia e arquitetura executados, deverão ser atendidas, pelo CONTRATADO, as exigências constantes do Decreto Estadual n.º 4.889, de 31 de maio de 2005, que “estabelece procedimentos de controle ambiental para a utilização de produtos e subprodutos de madeira de origem nativa em obras e serviços de engenharia contratados pelo Estado do Paraná e dá providências correlatas”;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16.7.2.</w:t>
      </w:r>
      <w:r>
        <w:rPr>
          <w:rFonts w:eastAsia="Arial" w:cs="Arial" w:ascii="Arial" w:hAnsi="Arial"/>
          <w:position w:val="0"/>
          <w:sz w:val="20"/>
          <w:sz w:val="20"/>
          <w:szCs w:val="20"/>
          <w:highlight w:val="white"/>
          <w:vertAlign w:val="baseline"/>
        </w:rPr>
        <w:t xml:space="preserve"> O descumprimento, pelo CONTRATADO, dos requisitos impostos no item 16.7 e subitem 16.7.1 deste Contrato, poderá implicar extinção do contrato, com amparo no art. 137, I da Lei Federal 14.133, de 2021, arts.180 e 129, I do decreto Estadual nº 10.086, de 2021, c/c a aplicação das penalidades previstas nos mesmos Diplomas Legais e neste Contrato.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16.8. </w:t>
      </w:r>
      <w:r>
        <w:rPr>
          <w:rFonts w:eastAsia="Arial" w:cs="Arial" w:ascii="Arial" w:hAnsi="Arial"/>
          <w:position w:val="0"/>
          <w:sz w:val="20"/>
          <w:sz w:val="20"/>
          <w:szCs w:val="20"/>
          <w:highlight w:val="white"/>
          <w:vertAlign w:val="baseline"/>
        </w:rPr>
        <w:t xml:space="preserve">O CONTRATADO deverá apresentar Projeto de Gerenciamento de Resíduos da Construção Civil para execução de atividades e empreendimentos sujeitos ao licenciamento ambiental, conforme </w:t>
      </w:r>
      <w:r>
        <w:rPr>
          <w:rFonts w:eastAsia="Arial" w:cs="Arial" w:ascii="Arial" w:hAnsi="Arial"/>
          <w:color w:val="000000"/>
          <w:position w:val="0"/>
          <w:sz w:val="20"/>
          <w:sz w:val="20"/>
          <w:szCs w:val="20"/>
          <w:highlight w:val="white"/>
          <w:vertAlign w:val="baseline"/>
        </w:rPr>
        <w:t>a Lei n.º 12.305, de 02 de agosto de 2010, e a Resolução do CONAMA nº 307/2002, e a legislação do município em que se localiza a atividade ou empreendimento.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16.8.1.</w:t>
      </w:r>
      <w:r>
        <w:rPr>
          <w:rFonts w:eastAsia="Arial" w:cs="Arial" w:ascii="Arial" w:hAnsi="Arial"/>
          <w:position w:val="0"/>
          <w:sz w:val="20"/>
          <w:sz w:val="20"/>
          <w:szCs w:val="20"/>
          <w:highlight w:val="white"/>
          <w:vertAlign w:val="baseline"/>
        </w:rPr>
        <w:t xml:space="preserve"> Os Projetos de Gerenciamento de Resíduos da Construção Civil para execução de atividades e empreendimentos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referente a município onde está localizado o empreendimento contratado.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color w:val="000000"/>
          <w:position w:val="0"/>
          <w:sz w:val="20"/>
          <w:sz w:val="20"/>
          <w:szCs w:val="20"/>
          <w:vertAlign w:val="baseline"/>
        </w:rPr>
      </w:pPr>
      <w:r>
        <w:rPr>
          <w:rFonts w:eastAsia="Arial" w:cs="Arial" w:ascii="Arial" w:hAnsi="Arial"/>
          <w:b/>
          <w:position w:val="0"/>
          <w:sz w:val="20"/>
          <w:sz w:val="20"/>
          <w:szCs w:val="20"/>
          <w:highlight w:val="white"/>
          <w:vertAlign w:val="baseline"/>
        </w:rPr>
        <w:t>16.8.2.</w:t>
      </w:r>
      <w:r>
        <w:rPr>
          <w:rFonts w:eastAsia="Arial" w:cs="Arial" w:ascii="Arial" w:hAnsi="Arial"/>
          <w:position w:val="0"/>
          <w:sz w:val="20"/>
          <w:sz w:val="20"/>
          <w:szCs w:val="20"/>
          <w:highlight w:val="white"/>
          <w:vertAlign w:val="baseline"/>
        </w:rPr>
        <w:t xml:space="preserve"> Os Projetos de Gerenciamento de Resíduos da Construção Civil deverão contemplar as seguintes etapas:</w:t>
      </w:r>
    </w:p>
    <w:p>
      <w:pPr>
        <w:pStyle w:val="Normal1"/>
        <w:spacing w:lineRule="auto" w:line="240" w:before="57"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a) caracterização: nesta etapa o gerador deverá identificar e quantificar os resíduos;</w:t>
      </w:r>
    </w:p>
    <w:p>
      <w:pPr>
        <w:pStyle w:val="Normal1"/>
        <w:spacing w:lineRule="auto" w:line="240" w:before="57"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b) triagem: deverá ser realizada, preferencialmente, pelo gerador na origem, ou ser realizada nas áreas de destinação licenciadas para essa finalidade, respeitadas as classes de resíduos estabelecidas no art. 3º da Resolução nº 307/2002 do CONAMA;</w:t>
      </w:r>
    </w:p>
    <w:p>
      <w:pPr>
        <w:pStyle w:val="Normal1"/>
        <w:spacing w:lineRule="auto" w:line="240" w:before="57"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c) acondicionamento: o gerador deve garantir o confinamento dos resíduos após a geração até a etapa de transporte, assegurando em todos os casos em que seja possível, as condições de reutilização e de reciclagem;</w:t>
      </w:r>
    </w:p>
    <w:p>
      <w:pPr>
        <w:pStyle w:val="Normal1"/>
        <w:spacing w:lineRule="auto" w:line="240" w:before="57"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t>d) transporte: deverá ser realizado em conformidade com as etapas anteriores e de acordo com as normas técnicas vigentes para o transporte de resíduos;</w:t>
      </w:r>
    </w:p>
    <w:p>
      <w:pPr>
        <w:pStyle w:val="Normal1"/>
        <w:spacing w:lineRule="auto" w:line="240" w:before="57" w:after="57"/>
        <w:ind w:hanging="0" w:left="567" w:right="0"/>
        <w:jc w:val="both"/>
        <w:rPr>
          <w:rFonts w:ascii="Arial" w:hAnsi="Arial" w:eastAsia="Arial" w:cs="Arial"/>
          <w:b/>
          <w:position w:val="0"/>
          <w:sz w:val="20"/>
          <w:sz w:val="20"/>
          <w:szCs w:val="20"/>
          <w:highlight w:val="white"/>
          <w:vertAlign w:val="baseline"/>
        </w:rPr>
      </w:pPr>
      <w:r>
        <w:rPr>
          <w:rFonts w:eastAsia="Arial" w:cs="Arial" w:ascii="Arial" w:hAnsi="Arial"/>
          <w:color w:val="000000"/>
          <w:position w:val="0"/>
          <w:sz w:val="20"/>
          <w:sz w:val="20"/>
          <w:szCs w:val="20"/>
          <w:vertAlign w:val="baseline"/>
        </w:rPr>
        <w:t>e) destinação: deverá ser prevista de acordo com o estabelecido no item 16.8.1 acima.</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16.8.3.</w:t>
      </w:r>
      <w:r>
        <w:rPr>
          <w:rFonts w:eastAsia="Arial" w:cs="Arial" w:ascii="Arial" w:hAnsi="Arial"/>
          <w:position w:val="0"/>
          <w:sz w:val="20"/>
          <w:sz w:val="20"/>
          <w:szCs w:val="20"/>
          <w:highlight w:val="white"/>
          <w:vertAlign w:val="baseline"/>
        </w:rPr>
        <w:t xml:space="preserve"> Os resíduos da construção civil deverão ser destinados na forma descrita no art. 10 da Resolução nº 307/2002 do CONAMA.</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16.9.</w:t>
      </w:r>
      <w:r>
        <w:rPr>
          <w:rFonts w:eastAsia="Arial" w:cs="Arial" w:ascii="Arial" w:hAnsi="Arial"/>
          <w:position w:val="0"/>
          <w:sz w:val="20"/>
          <w:sz w:val="20"/>
          <w:szCs w:val="20"/>
          <w:highlight w:val="white"/>
          <w:vertAlign w:val="baseline"/>
        </w:rPr>
        <w:t xml:space="preserve"> O CONTRATADO se obriga a manter na obra ou serviços de engenharia e arquitetura, quando couber, sob os cuidados de seu preposto, o diário de obras para anotações e registros pertinentes.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16.9.1.</w:t>
      </w:r>
      <w:r>
        <w:rPr>
          <w:rFonts w:eastAsia="Arial" w:cs="Arial" w:ascii="Arial" w:hAnsi="Arial"/>
          <w:position w:val="0"/>
          <w:sz w:val="20"/>
          <w:sz w:val="20"/>
          <w:szCs w:val="20"/>
          <w:vertAlign w:val="baseline"/>
        </w:rPr>
        <w:t xml:space="preserve"> É da competência do CONTRATADO registrar no Diário de Obras todas as ocorrências diárias, bem como especificar detalhadamente os serviços em execução, devendo a FISCALIZAÇÃO, nesse mesmo Diário, confirmar ou retificar o registro;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16.9.2.</w:t>
      </w:r>
      <w:r>
        <w:rPr>
          <w:rFonts w:eastAsia="Arial" w:cs="Arial" w:ascii="Arial" w:hAnsi="Arial"/>
          <w:position w:val="0"/>
          <w:sz w:val="20"/>
          <w:sz w:val="20"/>
          <w:szCs w:val="20"/>
          <w:vertAlign w:val="baseline"/>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pPr>
        <w:pStyle w:val="Normal1"/>
        <w:widowControl w:val="false"/>
        <w:tabs>
          <w:tab w:val="clear" w:pos="720"/>
          <w:tab w:val="left" w:pos="283" w:leader="none"/>
          <w:tab w:val="left" w:pos="1276"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vertAlign w:val="baseline"/>
        </w:rPr>
        <w:t>17. CLÁUSULA DÉCIMA SÉTIMA – DAS ALTERAÇÕES</w:t>
      </w:r>
    </w:p>
    <w:p>
      <w:pPr>
        <w:pStyle w:val="Normal1"/>
        <w:widowControl w:val="false"/>
        <w:tabs>
          <w:tab w:val="clear" w:pos="720"/>
          <w:tab w:val="left" w:pos="-7200" w:leader="none"/>
          <w:tab w:val="left" w:pos="-6207" w:leader="none"/>
        </w:tabs>
        <w:spacing w:lineRule="auto" w:line="240" w:before="57" w:after="57"/>
        <w:jc w:val="both"/>
        <w:rPr>
          <w:b/>
          <w:color w:val="000000"/>
          <w:position w:val="0"/>
          <w:sz w:val="20"/>
          <w:sz w:val="20"/>
          <w:szCs w:val="20"/>
          <w:vertAlign w:val="baseline"/>
        </w:rPr>
      </w:pPr>
      <w:r>
        <w:rPr>
          <w:rFonts w:eastAsia="Arial" w:cs="Arial" w:ascii="Arial" w:hAnsi="Arial"/>
          <w:b/>
          <w:position w:val="0"/>
          <w:sz w:val="20"/>
          <w:sz w:val="20"/>
          <w:szCs w:val="20"/>
          <w:highlight w:val="white"/>
          <w:vertAlign w:val="baseline"/>
        </w:rPr>
        <w:t>17.1.</w:t>
      </w:r>
      <w:r>
        <w:rPr>
          <w:rFonts w:eastAsia="Arial" w:cs="Arial" w:ascii="Arial" w:hAnsi="Arial"/>
          <w:position w:val="0"/>
          <w:sz w:val="20"/>
          <w:sz w:val="20"/>
          <w:szCs w:val="20"/>
          <w:highlight w:val="white"/>
          <w:vertAlign w:val="baseline"/>
        </w:rPr>
        <w:t xml:space="preserve"> Este Contrato poderá ser alterado pelo CONTRATANTE, precedidos das devidas justificativas, nos seguintes casos: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unilateralmente pela Administração:</w:t>
      </w:r>
      <w:bookmarkStart w:id="16" w:name="bookmark=id.1ksv4uv"/>
      <w:bookmarkEnd w:id="16"/>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quando houver modificação do projeto ou das especificações, para melhor adequação técnica a seus objetivos;</w:t>
      </w:r>
      <w:bookmarkStart w:id="17" w:name="bookmark=id.44sinio"/>
      <w:bookmarkEnd w:id="17"/>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quando for necessária a modificação do valor contratual em decorrência de acréscimo ou diminuição quantitativa de seu objeto, nos limites permitidos pela Lei;</w:t>
      </w:r>
      <w:bookmarkStart w:id="18" w:name="bookmark=id.2jxsxqh"/>
      <w:bookmarkEnd w:id="18"/>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 acordo entre as partes:</w:t>
      </w:r>
      <w:bookmarkStart w:id="19" w:name="bookmark=id.z337ya"/>
      <w:bookmarkEnd w:id="19"/>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quando conveniente a substituição da garantia de execução;</w:t>
      </w:r>
      <w:bookmarkStart w:id="20" w:name="bookmark=id.3j2qqm3"/>
      <w:bookmarkEnd w:id="20"/>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quando necessária a modificação do regime de execução da obra ou do serviço, bem como do modo de fornecimento, em face de verificação técnica da inaplicabilidade dos termos contratuais originários;</w:t>
      </w:r>
      <w:bookmarkStart w:id="21" w:name="bookmark=id.1y810tw"/>
      <w:bookmarkEnd w:id="21"/>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bookmarkStart w:id="22" w:name="bookmark=id.4i7ojhp"/>
      <w:bookmarkEnd w:id="22"/>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17.1.1.</w:t>
      </w:r>
      <w:r>
        <w:rPr>
          <w:rFonts w:eastAsia="Arial" w:cs="Arial" w:ascii="Arial" w:hAnsi="Arial"/>
          <w:position w:val="0"/>
          <w:sz w:val="20"/>
          <w:sz w:val="20"/>
          <w:szCs w:val="20"/>
          <w:vertAlign w:val="baseline"/>
        </w:rPr>
        <w:t xml:space="preserve"> Nas alterações de que trata esta cláusula deverá ser observado o disposto nos artigos 124 e seguintes da Lei Federal n.º 14.133/2021.</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highlight w:val="white"/>
          <w:vertAlign w:val="baseline"/>
        </w:rPr>
        <w:t>17.1.2.</w:t>
      </w:r>
      <w:r>
        <w:rPr>
          <w:rFonts w:eastAsia="Arial" w:cs="Arial" w:ascii="Arial" w:hAnsi="Arial"/>
          <w:position w:val="0"/>
          <w:sz w:val="20"/>
          <w:sz w:val="20"/>
          <w:szCs w:val="20"/>
          <w:highlight w:val="white"/>
          <w:vertAlign w:val="baseline"/>
        </w:rPr>
        <w:t xml:space="preserve"> Em situações especiais e devidamente justificadas, serão admitida</w:t>
      </w:r>
      <w:r>
        <w:rPr>
          <w:rFonts w:eastAsia="Arial" w:cs="Arial" w:ascii="Arial" w:hAnsi="Arial"/>
          <w:color w:val="000000"/>
          <w:position w:val="0"/>
          <w:sz w:val="20"/>
          <w:sz w:val="20"/>
          <w:szCs w:val="20"/>
          <w:vertAlign w:val="baseline"/>
        </w:rPr>
        <w:t>s, por acordo entre as partes, alterações que superem os limites legais previstos no art. 125</w:t>
      </w:r>
      <w:r>
        <w:rPr>
          <w:rFonts w:eastAsia="Arial" w:cs="Arial" w:ascii="Arial" w:hAnsi="Arial"/>
          <w:position w:val="0"/>
          <w:sz w:val="20"/>
          <w:sz w:val="20"/>
          <w:szCs w:val="20"/>
          <w:highlight w:val="white"/>
          <w:vertAlign w:val="baseline"/>
        </w:rPr>
        <w:t xml:space="preserve"> da Lei Federal n.º 14.133/2021, desde que observadas as seguintes situações:</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a) não acarrete para o CONTRATANTE encargos contratuais superiores aos oriundos de uma eventual extinção contratual por razões de interesse público, acrescidos aos custos da elaboração de um novo procedimento licitatório;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não inviabilize a execução contratual, à vista do nível de capacidade técnica e econômico-financeira do CONTRATADO;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c) decorra de fatos supervenientes que impliquem dificuldades não previstas ou imprevisíveis por ocasião da contratação inicial;</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 não ocasione a transfiguração do objeto originalmente contratado em outro de natureza e propósito diversos;</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seja necessária à completa execução do objeto original do contrato, à otimização do cronograma de execução e à antecipação dos benefícios sociais e econômicos decorrentes;</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f) demonstre, na motivação do ato que autorizar o aditamento contratual na hipótese deste parágrafo, que as consequências da rescisão contratual, seguida de nova licitação e contratação, importam em sacrifício insuportável ou gravíssimo ao interesse coletivo a ser atendido pela obra ou serviço, inclusive à sua urgência e emergência.</w:t>
      </w:r>
    </w:p>
    <w:p>
      <w:pPr>
        <w:pStyle w:val="Normal1"/>
        <w:spacing w:lineRule="auto" w:line="240" w:before="57" w:after="0"/>
        <w:ind w:hanging="0" w:left="992"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1"/>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36</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No caso da contratação integrada ou semi-integrada o 17.1.2 deverá ter a seguinte redação: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17.1.2</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Nas hipóteses em que for adotada a contratação integrada ou semi-integrada, é vedada a alteração dos valores contratuais, exceto nos seguintes casos:</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para restabelecimento do equilíbrio econômico-financeiro decorrente de caso fortuito ou força maior;</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Federal n.º 14.133/2021;</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 por necessidade de alteração do projeto nas contratações semi-integradas, nos termos do § 5º do art. 46 da Lei Federal n.º 14.133/2021; (esse item somente se aplica à contratação semi-integrada, devendo ser suprimido no caso de contratação integrada)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d) por ocorrência de evento superveniente alocado na matriz de riscos como de responsabilidade da Administração.</w:t>
            </w:r>
          </w:p>
        </w:tc>
      </w:tr>
    </w:tbl>
    <w:p>
      <w:pPr>
        <w:pStyle w:val="Normal1"/>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highlight w:val="white"/>
          <w:vertAlign w:val="baseline"/>
        </w:rPr>
        <w:t xml:space="preserve">17.1.3. </w:t>
      </w:r>
      <w:r>
        <w:rPr>
          <w:rFonts w:eastAsia="Arial" w:cs="Arial" w:ascii="Arial" w:hAnsi="Arial"/>
          <w:position w:val="0"/>
          <w:sz w:val="20"/>
          <w:sz w:val="20"/>
          <w:szCs w:val="20"/>
          <w:highlight w:val="white"/>
          <w:vertAlign w:val="baseline"/>
        </w:rPr>
        <w:t>O valor do contrato pode ser alterado quando: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a) a alteração for consequência dos casos dos incisos </w:t>
      </w:r>
      <w:r>
        <w:rPr>
          <w:rFonts w:eastAsia="Arial" w:cs="Arial" w:ascii="Arial" w:hAnsi="Arial"/>
          <w:color w:val="158466"/>
          <w:position w:val="0"/>
          <w:sz w:val="20"/>
          <w:sz w:val="20"/>
          <w:szCs w:val="20"/>
          <w:highlight w:val="yellow"/>
          <w:vertAlign w:val="baseline"/>
        </w:rPr>
        <w:t>“a” a “d” do subitem 17.1.2.</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b) visar 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pPr>
        <w:pStyle w:val="Normal1"/>
        <w:spacing w:lineRule="auto" w:line="240" w:before="57" w:after="57"/>
        <w:ind w:hanging="0" w:left="567" w:right="0"/>
        <w:jc w:val="both"/>
        <w:rPr>
          <w:rFonts w:ascii="Arial" w:hAnsi="Arial" w:eastAsia="Arial" w:cs="Arial"/>
          <w:b/>
          <w:position w:val="0"/>
          <w:sz w:val="20"/>
          <w:sz w:val="20"/>
          <w:szCs w:val="20"/>
          <w:vertAlign w:val="baseline"/>
        </w:rPr>
      </w:pPr>
      <w:r>
        <w:rPr>
          <w:rFonts w:eastAsia="Arial" w:cs="Arial" w:ascii="Arial" w:hAnsi="Arial"/>
          <w:position w:val="0"/>
          <w:sz w:val="20"/>
          <w:sz w:val="20"/>
          <w:szCs w:val="20"/>
          <w:vertAlign w:val="baseline"/>
        </w:rPr>
        <w:t>c)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conforme o caso.</w:t>
      </w:r>
    </w:p>
    <w:p>
      <w:pPr>
        <w:pStyle w:val="Normal1"/>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17.1.4.</w:t>
      </w:r>
      <w:r>
        <w:rPr>
          <w:rFonts w:eastAsia="Arial" w:cs="Arial" w:ascii="Arial" w:hAnsi="Arial"/>
          <w:position w:val="0"/>
          <w:sz w:val="20"/>
          <w:sz w:val="20"/>
          <w:szCs w:val="20"/>
          <w:vertAlign w:val="baseline"/>
        </w:rPr>
        <w:t xml:space="preserve"> </w:t>
      </w:r>
      <w:r>
        <w:rPr>
          <w:rFonts w:eastAsia="Arial" w:cs="Arial" w:ascii="Arial" w:hAnsi="Arial"/>
          <w:color w:val="000000"/>
          <w:position w:val="0"/>
          <w:sz w:val="20"/>
          <w:sz w:val="20"/>
          <w:szCs w:val="20"/>
          <w:highlight w:val="white"/>
          <w:vertAlign w:val="baseline"/>
        </w:rPr>
        <w:t>C</w:t>
      </w:r>
      <w:r>
        <w:rPr>
          <w:rFonts w:eastAsia="Arial" w:cs="Arial" w:ascii="Arial" w:hAnsi="Arial"/>
          <w:position w:val="0"/>
          <w:sz w:val="20"/>
          <w:sz w:val="20"/>
          <w:szCs w:val="20"/>
          <w:vertAlign w:val="baseline"/>
        </w:rPr>
        <w:t>oncluída a instrução do requerimento de reequilíbrio econômico-financeiro, a Administração terá o prazo de 30 (trinta) dias para decidir, admitida a prorrogação motivada por igual período.</w:t>
      </w:r>
    </w:p>
    <w:p>
      <w:pPr>
        <w:pStyle w:val="Normal1"/>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2"/>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37</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Nas hipóteses em que for adotada 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CONTRATAÇÃO INTEGRADA OU SEMI-INTEGRADA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item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com os subitens, deve ser escrito da seguinte forma: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17.1.3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É vedada a alteração dos valores contratuais, exceto nos seguintes casos:</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17.1.3.1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para restabelecimento do equilíbrio econômico-financeiro decorrente de caso fortuito ou força maior;</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17.1.3.2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nº 14.133/2021;</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17.1.3.3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por ocorrência de evento superveniente alocado na matriz de riscos como de responsabilidade da Administração.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17.1.3.4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por necessidade de alteração do projeto, nos termos do § 5º do art. 46 da Lei nº 14.133/2021;</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 subitem 17.1.3.4 só deve ser acrescido no caso de contratação semi-integrada.</w:t>
            </w:r>
          </w:p>
        </w:tc>
      </w:tr>
    </w:tbl>
    <w:p>
      <w:pPr>
        <w:pStyle w:val="Normal1"/>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17.2.</w:t>
      </w:r>
      <w:r>
        <w:rPr>
          <w:rFonts w:eastAsia="Arial" w:cs="Arial" w:ascii="Arial" w:hAnsi="Arial"/>
          <w:position w:val="0"/>
          <w:sz w:val="20"/>
          <w:sz w:val="20"/>
          <w:szCs w:val="20"/>
          <w:highlight w:val="white"/>
          <w:vertAlign w:val="baseline"/>
        </w:rPr>
        <w:t xml:space="preserve"> A garantia pode ser alterada quando conveniente a substituição a pedido do CONTRATADO e aceita pelo CONTRATANTE.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17.3.</w:t>
      </w:r>
      <w:r>
        <w:rPr>
          <w:rFonts w:eastAsia="Arial" w:cs="Arial" w:ascii="Arial" w:hAnsi="Arial"/>
          <w:position w:val="0"/>
          <w:sz w:val="20"/>
          <w:sz w:val="20"/>
          <w:szCs w:val="20"/>
          <w:highlight w:val="white"/>
          <w:vertAlign w:val="baseline"/>
        </w:rPr>
        <w:t xml:space="preserve"> A forma de pagamento poderá ser alterada por imposição de circunstâncias supervenientes, mantido o valor inicial atualizado, vedada a antecipação do pagamento com relação ao cronograma financeiro fixado sem a correspondente contraprestação de fornecimento de bens ou execução de obra ou serviço.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17.4.</w:t>
      </w:r>
      <w:r>
        <w:rPr>
          <w:rFonts w:eastAsia="Arial" w:cs="Arial" w:ascii="Arial" w:hAnsi="Arial"/>
          <w:position w:val="0"/>
          <w:sz w:val="20"/>
          <w:sz w:val="20"/>
          <w:szCs w:val="20"/>
          <w:highlight w:val="white"/>
          <w:vertAlign w:val="baseline"/>
        </w:rPr>
        <w:t xml:space="preserve"> No caso de supressão de obras, bens ou serviços, se o contratado já houver adquirido os materiais e posto no local dos trabalhos, estes devem ser ressarcidos pelo CONTRATANTE pelos custos de aquisição regularmente comprovados.</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17.5.</w:t>
      </w:r>
      <w:r>
        <w:rPr>
          <w:rFonts w:eastAsia="Arial" w:cs="Arial" w:ascii="Arial" w:hAnsi="Arial"/>
          <w:position w:val="0"/>
          <w:sz w:val="20"/>
          <w:sz w:val="20"/>
          <w:szCs w:val="20"/>
          <w:highlight w:val="white"/>
          <w:vertAlign w:val="baseline"/>
        </w:rPr>
        <w:t xml:space="preserve"> Havendo alteração do contrato que aumente ou diminua os encargos do CONTRATADO, deve ser reestabelecida a equação econômico-financeira por meio de aditamento contratual nos casos autorizados pela Lei n.º 14.133/2021.</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17.5.1.</w:t>
      </w:r>
      <w:r>
        <w:rPr>
          <w:rFonts w:eastAsia="Arial" w:cs="Arial" w:ascii="Arial" w:hAnsi="Arial"/>
          <w:position w:val="0"/>
          <w:sz w:val="20"/>
          <w:sz w:val="20"/>
          <w:szCs w:val="20"/>
          <w:highlight w:val="white"/>
          <w:vertAlign w:val="baseline"/>
        </w:rPr>
        <w:t xml:space="preserve"> Caso os serviços a serem acrescidos ou suprimidos constem na planilha de serviços da obra contratada, prevalecerão os valores propostos pelo CONTRATADO, em cada item;</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17.5.2.</w:t>
      </w:r>
      <w:r>
        <w:rPr>
          <w:rFonts w:eastAsia="Arial" w:cs="Arial" w:ascii="Arial" w:hAnsi="Arial"/>
          <w:position w:val="0"/>
          <w:sz w:val="20"/>
          <w:sz w:val="20"/>
          <w:szCs w:val="20"/>
          <w:highlight w:val="white"/>
          <w:vertAlign w:val="baseline"/>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17.5.3.</w:t>
      </w:r>
      <w:r>
        <w:rPr>
          <w:rFonts w:eastAsia="Arial" w:cs="Arial" w:ascii="Arial" w:hAnsi="Arial"/>
          <w:position w:val="0"/>
          <w:sz w:val="20"/>
          <w:sz w:val="20"/>
          <w:szCs w:val="20"/>
          <w:highlight w:val="white"/>
          <w:vertAlign w:val="baseline"/>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 serviços a serem contratados serão a média dos </w:t>
      </w:r>
      <w:r>
        <w:rPr>
          <w:rFonts w:eastAsia="Arial" w:cs="Arial" w:ascii="Arial" w:hAnsi="Arial"/>
          <w:position w:val="0"/>
          <w:sz w:val="20"/>
          <w:sz w:val="20"/>
          <w:szCs w:val="20"/>
          <w:vertAlign w:val="baseline"/>
        </w:rPr>
        <w:t>preços pesquisados, multiplicados pelo desconto global ou linear oferecido na proposta do contratado.</w:t>
      </w:r>
    </w:p>
    <w:p>
      <w:pPr>
        <w:pStyle w:val="Normal1"/>
        <w:widowControl w:val="false"/>
        <w:tabs>
          <w:tab w:val="clear" w:pos="720"/>
          <w:tab w:val="left" w:pos="-6917" w:leader="none"/>
          <w:tab w:val="left" w:pos="-5924" w:leader="none"/>
        </w:tabs>
        <w:spacing w:lineRule="auto" w:line="240" w:before="57" w:after="57"/>
        <w:ind w:hanging="0" w:left="283" w:right="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17.6.</w:t>
      </w:r>
      <w:r>
        <w:rPr>
          <w:rFonts w:eastAsia="Arial" w:cs="Arial" w:ascii="Arial" w:hAnsi="Arial"/>
          <w:position w:val="0"/>
          <w:sz w:val="20"/>
          <w:sz w:val="20"/>
          <w:szCs w:val="20"/>
          <w:highlight w:val="white"/>
          <w:vertAlign w:val="baseline"/>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vertAlign w:val="baseline"/>
        </w:rPr>
        <w:t>18. CLÁUSULA DÉCIMA OITAVA – DA INEXECUÇÃO, EXTINÇÃO E PENALIDADES.</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18.1.</w:t>
      </w:r>
      <w:r>
        <w:rPr>
          <w:rFonts w:eastAsia="Arial" w:cs="Arial" w:ascii="Arial" w:hAnsi="Arial"/>
          <w:position w:val="0"/>
          <w:sz w:val="20"/>
          <w:sz w:val="20"/>
          <w:szCs w:val="20"/>
          <w:vertAlign w:val="baseline"/>
        </w:rPr>
        <w:t xml:space="preserve"> A inexecução total ou parcial do contrato enseja a sua extinção, com as consequências previstas em lei, no Decreto Estadual nº 10.086/2022 e neste contrato.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vertAlign w:val="baseline"/>
        </w:rPr>
        <w:t>18.2.</w:t>
      </w:r>
      <w:r>
        <w:rPr>
          <w:rFonts w:eastAsia="Arial" w:cs="Arial" w:ascii="Arial" w:hAnsi="Arial"/>
          <w:position w:val="0"/>
          <w:sz w:val="20"/>
          <w:sz w:val="20"/>
          <w:szCs w:val="20"/>
          <w:vertAlign w:val="baseline"/>
        </w:rPr>
        <w:t xml:space="preserve"> Constituem motivo para extinção do contrato: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18.2.1. </w:t>
      </w:r>
      <w:r>
        <w:rPr>
          <w:rFonts w:eastAsia="Arial" w:cs="Arial" w:ascii="Arial" w:hAnsi="Arial"/>
          <w:position w:val="0"/>
          <w:sz w:val="20"/>
          <w:sz w:val="20"/>
          <w:szCs w:val="20"/>
          <w:highlight w:val="white"/>
          <w:vertAlign w:val="baseline"/>
        </w:rPr>
        <w:t>O não cumprimento de cláusulas, condições, especificações, projetos e prazos;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18.2.2.</w:t>
      </w:r>
      <w:r>
        <w:rPr>
          <w:rFonts w:eastAsia="Arial" w:cs="Arial" w:ascii="Arial" w:hAnsi="Arial"/>
          <w:position w:val="0"/>
          <w:sz w:val="20"/>
          <w:sz w:val="20"/>
          <w:szCs w:val="20"/>
          <w:highlight w:val="white"/>
          <w:vertAlign w:val="baseline"/>
        </w:rPr>
        <w:t xml:space="preserve"> O cumprimento irregular de cláusulas, condições, especificações, projetos e prazos,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18.2.3.</w:t>
      </w:r>
      <w:r>
        <w:rPr>
          <w:rFonts w:eastAsia="Arial" w:cs="Arial" w:ascii="Arial" w:hAnsi="Arial"/>
          <w:position w:val="0"/>
          <w:sz w:val="20"/>
          <w:sz w:val="20"/>
          <w:szCs w:val="20"/>
          <w:highlight w:val="white"/>
          <w:vertAlign w:val="baseline"/>
        </w:rPr>
        <w:t xml:space="preserve"> A lentidão no seu cumprimento, levando o CONTRATANTE a presumir a não conclusão da obra e/ou do serviço nos prazos estipulados;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18.2.4.</w:t>
      </w:r>
      <w:r>
        <w:rPr>
          <w:rFonts w:eastAsia="Arial" w:cs="Arial" w:ascii="Arial" w:hAnsi="Arial"/>
          <w:position w:val="0"/>
          <w:sz w:val="20"/>
          <w:sz w:val="20"/>
          <w:szCs w:val="20"/>
          <w:highlight w:val="white"/>
          <w:vertAlign w:val="baseline"/>
        </w:rPr>
        <w:t xml:space="preserve"> O atraso injustificado no início da obra e/ou serviço sem justa causa e sem prévia comunicação ao CONTRATANTE;</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18.2.5.</w:t>
      </w:r>
      <w:r>
        <w:rPr>
          <w:rFonts w:eastAsia="Arial" w:cs="Arial" w:ascii="Arial" w:hAnsi="Arial"/>
          <w:position w:val="0"/>
          <w:sz w:val="20"/>
          <w:sz w:val="20"/>
          <w:szCs w:val="20"/>
          <w:highlight w:val="white"/>
          <w:vertAlign w:val="baseline"/>
        </w:rPr>
        <w:t xml:space="preserve"> A paralisação da obra e/ou do serviço sem justa causa e sem prévia comunicação ao CONTRATANTE;</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18.2.6.</w:t>
      </w:r>
      <w:r>
        <w:rPr>
          <w:rFonts w:eastAsia="Arial" w:cs="Arial" w:ascii="Arial" w:hAnsi="Arial"/>
          <w:position w:val="0"/>
          <w:sz w:val="20"/>
          <w:sz w:val="20"/>
          <w:szCs w:val="20"/>
          <w:highlight w:val="white"/>
          <w:vertAlign w:val="baseline"/>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18.2.7.</w:t>
      </w:r>
      <w:r>
        <w:rPr>
          <w:rFonts w:eastAsia="Arial" w:cs="Arial" w:ascii="Arial" w:hAnsi="Arial"/>
          <w:position w:val="0"/>
          <w:sz w:val="20"/>
          <w:sz w:val="20"/>
          <w:szCs w:val="20"/>
          <w:highlight w:val="white"/>
          <w:vertAlign w:val="baseline"/>
        </w:rPr>
        <w:t xml:space="preserve"> O não atendimento das determinações regulares da autoridade designada para acompanhar e fiscalizar a execução, assim como as de seus superiores;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18.2.8.</w:t>
      </w:r>
      <w:r>
        <w:rPr>
          <w:rFonts w:eastAsia="Arial" w:cs="Arial" w:ascii="Arial" w:hAnsi="Arial"/>
          <w:position w:val="0"/>
          <w:sz w:val="20"/>
          <w:sz w:val="20"/>
          <w:szCs w:val="20"/>
          <w:highlight w:val="white"/>
          <w:vertAlign w:val="baseline"/>
        </w:rPr>
        <w:t xml:space="preserve"> O cometimento reiterado de faltas na execução do ajuste, anotadas no Relatório de Vistoria;</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18.2.9.</w:t>
      </w:r>
      <w:r>
        <w:rPr>
          <w:rFonts w:eastAsia="Arial" w:cs="Arial" w:ascii="Arial" w:hAnsi="Arial"/>
          <w:position w:val="0"/>
          <w:sz w:val="20"/>
          <w:sz w:val="20"/>
          <w:szCs w:val="20"/>
          <w:highlight w:val="white"/>
          <w:vertAlign w:val="baseline"/>
        </w:rPr>
        <w:t xml:space="preserve"> A decretação de falência ou a instauração de insolvência civil do CONTRATADO;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18.2.10.</w:t>
      </w:r>
      <w:r>
        <w:rPr>
          <w:rFonts w:eastAsia="Arial" w:cs="Arial" w:ascii="Arial" w:hAnsi="Arial"/>
          <w:position w:val="0"/>
          <w:sz w:val="20"/>
          <w:sz w:val="20"/>
          <w:szCs w:val="20"/>
          <w:highlight w:val="white"/>
          <w:vertAlign w:val="baseline"/>
        </w:rPr>
        <w:t xml:space="preserve"> A alteração social ou a modificação da finalidade ou da estrutura da empresa, que, a juízo do CONTRATANTE, prejudique a execução do contrato;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18.2.11.</w:t>
      </w:r>
      <w:r>
        <w:rPr>
          <w:rFonts w:eastAsia="Arial" w:cs="Arial" w:ascii="Arial" w:hAnsi="Arial"/>
          <w:position w:val="0"/>
          <w:sz w:val="20"/>
          <w:sz w:val="20"/>
          <w:szCs w:val="20"/>
          <w:highlight w:val="white"/>
          <w:vertAlign w:val="baseline"/>
        </w:rPr>
        <w:t xml:space="preserve"> A dissolução da sociedade ou o falecimento do contratado;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18.2.12.</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vertAlign w:val="baseline"/>
        </w:rPr>
        <w:t>Não cumprimento das obrigações relativas à reserva de cargos prevista em lei, bem como em outras normas específicas, para pessoa com deficiência, para reabilitado da Previdência Social ou para aprendiz.</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18.2.13.</w:t>
      </w:r>
      <w:r>
        <w:rPr>
          <w:rFonts w:eastAsia="Arial" w:cs="Arial" w:ascii="Arial" w:hAnsi="Arial"/>
          <w:position w:val="0"/>
          <w:sz w:val="20"/>
          <w:sz w:val="20"/>
          <w:szCs w:val="20"/>
          <w:highlight w:val="white"/>
          <w:vertAlign w:val="baseline"/>
        </w:rPr>
        <w:t xml:space="preserve"> A falta de integralização da garantia nos prazos estipulados;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18.2.14.</w:t>
      </w:r>
      <w:r>
        <w:rPr>
          <w:rFonts w:eastAsia="Arial" w:cs="Arial" w:ascii="Arial" w:hAnsi="Arial"/>
          <w:position w:val="0"/>
          <w:sz w:val="20"/>
          <w:sz w:val="20"/>
          <w:szCs w:val="20"/>
          <w:highlight w:val="white"/>
          <w:vertAlign w:val="baseline"/>
        </w:rPr>
        <w:t xml:space="preserve"> Razões de interesse público de alta relevância e amplo conhecimento, justificadas e determinadas pelo CONTRATANTE;</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18.2.15.</w:t>
      </w:r>
      <w:r>
        <w:rPr>
          <w:rFonts w:eastAsia="Arial" w:cs="Arial" w:ascii="Arial" w:hAnsi="Arial"/>
          <w:position w:val="0"/>
          <w:sz w:val="20"/>
          <w:sz w:val="20"/>
          <w:szCs w:val="20"/>
          <w:highlight w:val="white"/>
          <w:vertAlign w:val="baseline"/>
        </w:rPr>
        <w:t xml:space="preserve"> A supressão, por parte do CONTRATANTE, de obras ou serviços, acarretando modificação do valor inicial do contrato além do limite permitido legalmente;</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18.2.16.</w:t>
      </w:r>
      <w:r>
        <w:rPr>
          <w:rFonts w:eastAsia="Arial" w:cs="Arial" w:ascii="Arial" w:hAnsi="Arial"/>
          <w:position w:val="0"/>
          <w:sz w:val="20"/>
          <w:sz w:val="20"/>
          <w:szCs w:val="20"/>
          <w:highlight w:val="white"/>
          <w:vertAlign w:val="baseline"/>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18.2.17.</w:t>
      </w:r>
      <w:r>
        <w:rPr>
          <w:rFonts w:eastAsia="Arial" w:cs="Arial" w:ascii="Arial" w:hAnsi="Arial"/>
          <w:position w:val="0"/>
          <w:sz w:val="20"/>
          <w:sz w:val="20"/>
          <w:szCs w:val="20"/>
          <w:highlight w:val="white"/>
          <w:vertAlign w:val="baseline"/>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18.2.18.</w:t>
      </w:r>
      <w:r>
        <w:rPr>
          <w:rFonts w:eastAsia="Arial" w:cs="Arial" w:ascii="Arial" w:hAnsi="Arial"/>
          <w:position w:val="0"/>
          <w:sz w:val="20"/>
          <w:sz w:val="20"/>
          <w:szCs w:val="20"/>
          <w:highlight w:val="white"/>
          <w:vertAlign w:val="baseline"/>
        </w:rPr>
        <w:t xml:space="preserve"> A não liberação, por parte do CONTRATANTE, de área, local ou objeto para execução de obra, serviço ou fornecimento, nos prazos contratuais, bem como das fontes de materiais naturais especificadas no projeto;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18.2.19.</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vertAlign w:val="baseline"/>
        </w:rPr>
        <w:t>O atraso na obtenção da licença ambiental, ou impossibilidade de obtê-la, ou alteração substancial do anteprojeto que dela resultar, ainda que obtida no prazo previsto;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18.2.20.</w:t>
      </w:r>
      <w:r>
        <w:rPr>
          <w:rFonts w:eastAsia="Arial" w:cs="Arial" w:ascii="Arial" w:hAnsi="Arial"/>
          <w:position w:val="0"/>
          <w:sz w:val="20"/>
          <w:sz w:val="20"/>
          <w:szCs w:val="20"/>
          <w:highlight w:val="white"/>
          <w:vertAlign w:val="baseline"/>
        </w:rPr>
        <w:t xml:space="preserve"> A ocorrência de caso fortuito ou de força maior, regularmente comprovada e impeditiva da execução do contrato.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18.2.21.</w:t>
      </w:r>
      <w:r>
        <w:rPr>
          <w:rFonts w:eastAsia="Arial" w:cs="Arial" w:ascii="Arial" w:hAnsi="Arial"/>
          <w:position w:val="0"/>
          <w:sz w:val="20"/>
          <w:sz w:val="20"/>
          <w:szCs w:val="20"/>
          <w:highlight w:val="white"/>
          <w:vertAlign w:val="baseline"/>
        </w:rPr>
        <w:t xml:space="preserve"> O descumprimento da proibição de trabalho noturno, perigoso ou insalubre a menores de 18 (dezoito) anos e de qualquer trabalho a menores de 16 (dezesseis) anos, salvo na condição de aprendiz, a partir de 14 (quatorze) anos;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18.2.22.</w:t>
      </w:r>
      <w:r>
        <w:rPr>
          <w:rFonts w:eastAsia="Arial" w:cs="Arial" w:ascii="Arial" w:hAnsi="Arial"/>
          <w:position w:val="0"/>
          <w:sz w:val="20"/>
          <w:sz w:val="20"/>
          <w:szCs w:val="20"/>
          <w:highlight w:val="white"/>
          <w:vertAlign w:val="baseline"/>
        </w:rPr>
        <w:t xml:space="preserve"> A superveniência da declaração de inidoneidade para licitar e contratar com a Administração Pública;</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18.2.23.</w:t>
      </w:r>
      <w:r>
        <w:rPr>
          <w:rFonts w:eastAsia="Arial" w:cs="Arial" w:ascii="Arial" w:hAnsi="Arial"/>
          <w:position w:val="0"/>
          <w:sz w:val="20"/>
          <w:sz w:val="20"/>
          <w:szCs w:val="20"/>
          <w:highlight w:val="white"/>
          <w:vertAlign w:val="baseline"/>
        </w:rPr>
        <w:t xml:space="preserve"> O perecimento do objeto contratual, tornando impossível o prosseguimento da execução da avença.</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18.3.</w:t>
      </w:r>
      <w:r>
        <w:rPr>
          <w:rFonts w:eastAsia="Arial" w:cs="Arial" w:ascii="Arial" w:hAnsi="Arial"/>
          <w:position w:val="0"/>
          <w:sz w:val="20"/>
          <w:sz w:val="20"/>
          <w:szCs w:val="20"/>
          <w:highlight w:val="white"/>
          <w:vertAlign w:val="baseline"/>
        </w:rPr>
        <w:t xml:space="preserve"> Os casos de extinção contratual serão formalmente motivados nos autos de processo administrativo autônomo, por meio do qual ficará assegurado o contraditório e ampla defesa.</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highlight w:val="white"/>
          <w:vertAlign w:val="baseline"/>
        </w:rPr>
        <w:t xml:space="preserve">18.4. </w:t>
      </w:r>
      <w:r>
        <w:rPr>
          <w:rFonts w:eastAsia="Arial" w:cs="Arial" w:ascii="Arial" w:hAnsi="Arial"/>
          <w:position w:val="0"/>
          <w:sz w:val="20"/>
          <w:sz w:val="20"/>
          <w:szCs w:val="20"/>
          <w:highlight w:val="white"/>
          <w:vertAlign w:val="baseline"/>
        </w:rPr>
        <w:t>A extinção do contrato poderá ser:</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18.4.1.</w:t>
      </w:r>
      <w:r>
        <w:rPr>
          <w:rFonts w:eastAsia="Arial" w:cs="Arial" w:ascii="Arial" w:hAnsi="Arial"/>
          <w:color w:val="000000"/>
          <w:position w:val="0"/>
          <w:sz w:val="20"/>
          <w:sz w:val="20"/>
          <w:szCs w:val="20"/>
          <w:vertAlign w:val="baseline"/>
        </w:rPr>
        <w:t xml:space="preserve"> determinada por ato unilateral e escrito da Administração, exceto no caso de descumprimento decorrente de sua própria conduta;</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b/>
          <w:color w:val="000000"/>
          <w:position w:val="0"/>
          <w:sz w:val="20"/>
          <w:sz w:val="20"/>
          <w:szCs w:val="20"/>
          <w:vertAlign w:val="baseline"/>
        </w:rPr>
        <w:t>18.4.2.</w:t>
      </w:r>
      <w:r>
        <w:rPr>
          <w:rFonts w:eastAsia="Arial" w:cs="Arial" w:ascii="Arial" w:hAnsi="Arial"/>
          <w:color w:val="000000"/>
          <w:position w:val="0"/>
          <w:sz w:val="20"/>
          <w:sz w:val="20"/>
          <w:szCs w:val="20"/>
          <w:vertAlign w:val="baseline"/>
        </w:rPr>
        <w:t xml:space="preserve"> consensual, por acordo entre as partes, desde que haja interesse da Administração;</w:t>
      </w:r>
    </w:p>
    <w:p>
      <w:pPr>
        <w:pStyle w:val="Normal1"/>
        <w:widowControl w:val="false"/>
        <w:tabs>
          <w:tab w:val="clear" w:pos="720"/>
          <w:tab w:val="left" w:pos="0" w:leader="none"/>
          <w:tab w:val="left" w:pos="993"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3"/>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38</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 prevista a possibilidade de resolução de conflitos por conciliação, por mediação ou por comitê de resolução de disputas, o item 18.4 deve ser o seguinte:</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extinção do contrato poderá ser:</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determinada por ato unilateral e escrito da Administração, exceto no caso de descumprimento decorrente de sua própria conduta;</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18.4.2.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consensual, por acordo entre as partes, por conciliação, por mediação ou por comitê de resolução de disputas, desde que haja interesse da Administração;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18.4.3.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determinada por decisão arbitral, em decorrência de cláusula compromissória ou compromisso arbitral, ou por decisão judicial.</w:t>
            </w:r>
          </w:p>
        </w:tc>
      </w:tr>
    </w:tbl>
    <w:p>
      <w:pPr>
        <w:pStyle w:val="Normal1"/>
        <w:widowControl w:val="false"/>
        <w:tabs>
          <w:tab w:val="clear" w:pos="720"/>
          <w:tab w:val="left" w:pos="0" w:leader="none"/>
          <w:tab w:val="left" w:pos="993" w:leader="none"/>
        </w:tabs>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18.5.</w:t>
      </w:r>
      <w:r>
        <w:rPr>
          <w:rFonts w:eastAsia="Arial" w:cs="Arial" w:ascii="Arial" w:hAnsi="Arial"/>
          <w:color w:val="000000"/>
          <w:position w:val="0"/>
          <w:sz w:val="20"/>
          <w:sz w:val="20"/>
          <w:szCs w:val="20"/>
          <w:highlight w:val="white"/>
          <w:vertAlign w:val="baseline"/>
        </w:rPr>
        <w:t xml:space="preserve"> A extinção administrativa ou consensual deverá ser precedida de autorização escrita e fundamentada da autoridade competente.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18.6.</w:t>
      </w:r>
      <w:r>
        <w:rPr>
          <w:rFonts w:eastAsia="Arial" w:cs="Arial" w:ascii="Arial" w:hAnsi="Arial"/>
          <w:color w:val="000000"/>
          <w:position w:val="0"/>
          <w:sz w:val="20"/>
          <w:sz w:val="20"/>
          <w:szCs w:val="20"/>
          <w:highlight w:val="white"/>
          <w:vertAlign w:val="baseline"/>
        </w:rPr>
        <w:t xml:space="preserve"> Quando a extinção ocorrer com base nos subitens 18.2.14 à 18.2.23, sem que haja culpa do CONTRATADO, será esta ressarcida dos prejuízos regularmente comprovados que houver sofrido, tendo ainda direito.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18.6.1.</w:t>
      </w:r>
      <w:r>
        <w:rPr>
          <w:rFonts w:eastAsia="Arial" w:cs="Arial" w:ascii="Arial" w:hAnsi="Arial"/>
          <w:color w:val="000000"/>
          <w:position w:val="0"/>
          <w:sz w:val="20"/>
          <w:sz w:val="20"/>
          <w:szCs w:val="20"/>
          <w:highlight w:val="white"/>
          <w:vertAlign w:val="baseline"/>
        </w:rPr>
        <w:t xml:space="preserve"> Devolução da garantia;</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18.6.2.</w:t>
      </w:r>
      <w:r>
        <w:rPr>
          <w:rFonts w:eastAsia="Arial" w:cs="Arial" w:ascii="Arial" w:hAnsi="Arial"/>
          <w:color w:val="000000"/>
          <w:position w:val="0"/>
          <w:sz w:val="20"/>
          <w:sz w:val="20"/>
          <w:szCs w:val="20"/>
          <w:highlight w:val="white"/>
          <w:vertAlign w:val="baseline"/>
        </w:rPr>
        <w:t xml:space="preserve"> Pagamentos devidos pela execução do contrato até a data da extinção;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18.6.3.</w:t>
      </w:r>
      <w:r>
        <w:rPr>
          <w:rFonts w:eastAsia="Arial" w:cs="Arial" w:ascii="Arial" w:hAnsi="Arial"/>
          <w:color w:val="000000"/>
          <w:position w:val="0"/>
          <w:sz w:val="20"/>
          <w:sz w:val="20"/>
          <w:szCs w:val="20"/>
          <w:highlight w:val="white"/>
          <w:vertAlign w:val="baseline"/>
        </w:rPr>
        <w:t xml:space="preserve"> Pagamento do custo da desmobilização, quando couber;</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18.6.4.</w:t>
      </w:r>
      <w:r>
        <w:rPr>
          <w:rFonts w:eastAsia="Arial" w:cs="Arial" w:ascii="Arial" w:hAnsi="Arial"/>
          <w:color w:val="000000"/>
          <w:position w:val="0"/>
          <w:sz w:val="20"/>
          <w:sz w:val="20"/>
          <w:szCs w:val="20"/>
          <w:highlight w:val="white"/>
          <w:vertAlign w:val="baseline"/>
        </w:rPr>
        <w:t xml:space="preserve"> Ocorrendo impedimento, paralisação ou sustação do contrato, o cronograma de execução será prorrogado automaticamente por igual tempo.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18.7.</w:t>
      </w:r>
      <w:r>
        <w:rPr>
          <w:rFonts w:eastAsia="Arial" w:cs="Arial" w:ascii="Arial" w:hAnsi="Arial"/>
          <w:color w:val="000000"/>
          <w:position w:val="0"/>
          <w:sz w:val="20"/>
          <w:sz w:val="20"/>
          <w:szCs w:val="20"/>
          <w:highlight w:val="white"/>
          <w:vertAlign w:val="baseline"/>
        </w:rPr>
        <w:t xml:space="preserve"> A rescisão unilateral acarretará as seguintes consequências, sem prejuízos das sanções previstas neste instrumento:</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18.7.1.</w:t>
      </w:r>
      <w:r>
        <w:rPr>
          <w:rFonts w:eastAsia="Arial" w:cs="Arial" w:ascii="Arial" w:hAnsi="Arial"/>
          <w:color w:val="000000"/>
          <w:position w:val="0"/>
          <w:sz w:val="20"/>
          <w:sz w:val="20"/>
          <w:szCs w:val="20"/>
          <w:highlight w:val="white"/>
          <w:vertAlign w:val="baseline"/>
        </w:rPr>
        <w:t xml:space="preserve"> Assunção imediata do objeto do contrato, no estado e local em que se encontrar, por ato próprio do CONTRATANTE,</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18.7.2.</w:t>
      </w:r>
      <w:r>
        <w:rPr>
          <w:rFonts w:eastAsia="Arial" w:cs="Arial" w:ascii="Arial" w:hAnsi="Arial"/>
          <w:color w:val="000000"/>
          <w:position w:val="0"/>
          <w:sz w:val="20"/>
          <w:sz w:val="20"/>
          <w:szCs w:val="20"/>
          <w:highlight w:val="white"/>
          <w:vertAlign w:val="baseline"/>
        </w:rPr>
        <w:t xml:space="preserve"> Ocupação e utilização do local, instalações, equipamentos, material e pessoal empregados na execução do contrato, necessários à sua continuidade, a serem devolvidos ou ressarcidos posteriormente, mediante avaliação, nos casos de serviços essenciais conforme previsto na Lei;</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18.7.3.</w:t>
      </w:r>
      <w:r>
        <w:rPr>
          <w:rFonts w:eastAsia="Arial" w:cs="Arial" w:ascii="Arial" w:hAnsi="Arial"/>
          <w:color w:val="000000"/>
          <w:position w:val="0"/>
          <w:sz w:val="20"/>
          <w:sz w:val="20"/>
          <w:szCs w:val="20"/>
          <w:highlight w:val="white"/>
          <w:vertAlign w:val="baseline"/>
        </w:rPr>
        <w:t xml:space="preserve"> Perda ou execução da garantia contratual, para ressarcimento do Estado e dos valores das multas e indenizações a ele devidos;</w:t>
      </w:r>
    </w:p>
    <w:p>
      <w:pPr>
        <w:pStyle w:val="Normal1"/>
        <w:widowControl w:val="false"/>
        <w:tabs>
          <w:tab w:val="clear" w:pos="720"/>
          <w:tab w:val="left" w:pos="-10517" w:leader="none"/>
          <w:tab w:val="left" w:pos="-9524" w:leader="none"/>
          <w:tab w:val="left" w:pos="-9383"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18.7.4.</w:t>
      </w:r>
      <w:r>
        <w:rPr>
          <w:rFonts w:eastAsia="Arial" w:cs="Arial" w:ascii="Arial" w:hAnsi="Arial"/>
          <w:color w:val="000000"/>
          <w:position w:val="0"/>
          <w:sz w:val="20"/>
          <w:sz w:val="20"/>
          <w:szCs w:val="20"/>
          <w:highlight w:val="white"/>
          <w:vertAlign w:val="baseline"/>
        </w:rPr>
        <w:t xml:space="preserve"> Retenção dos créditos decorrentes do contrato, até o limite dos prejuízos causados.</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18.8.</w:t>
      </w:r>
      <w:r>
        <w:rPr>
          <w:rFonts w:eastAsia="Arial" w:cs="Arial" w:ascii="Arial" w:hAnsi="Arial"/>
          <w:color w:val="000000"/>
          <w:position w:val="0"/>
          <w:sz w:val="20"/>
          <w:sz w:val="20"/>
          <w:szCs w:val="20"/>
          <w:highlight w:val="white"/>
          <w:vertAlign w:val="baseline"/>
        </w:rPr>
        <w:t xml:space="preserve"> Na hipótese de ocupação provisória, o ato deverá ser precedido de autorização expressa da autoridade competente do CONTRATANTE.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18.9.</w:t>
      </w:r>
      <w:r>
        <w:rPr>
          <w:rFonts w:eastAsia="Arial" w:cs="Arial" w:ascii="Arial" w:hAnsi="Arial"/>
          <w:color w:val="000000"/>
          <w:position w:val="0"/>
          <w:sz w:val="20"/>
          <w:sz w:val="20"/>
          <w:szCs w:val="20"/>
          <w:highlight w:val="white"/>
          <w:vertAlign w:val="baseline"/>
        </w:rPr>
        <w:t xml:space="preserve"> A recusa injustificada do adjudicatário em assinar o contrato, aceitar ou retirar o instrumento equivalente dentro do prazo estabelecido pelo CONTRATANTE caracteriza o descumprimento total da obrigação assumida, sujeitando-o à penalidade definida no item 18.15, além das demais penalidades previstas neste Contrato.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18.10.</w:t>
      </w:r>
      <w:r>
        <w:rPr>
          <w:rFonts w:eastAsia="Arial" w:cs="Arial" w:ascii="Arial" w:hAnsi="Arial"/>
          <w:color w:val="000000"/>
          <w:position w:val="0"/>
          <w:sz w:val="20"/>
          <w:sz w:val="20"/>
          <w:szCs w:val="20"/>
          <w:highlight w:val="white"/>
          <w:vertAlign w:val="baseline"/>
        </w:rPr>
        <w:t xml:space="preserve"> O atraso injustificado na execução do contrato sujeitará o CONTRATADO à multa de mora, na forma prevista neste Contrato, sem prejuízo do previsto no subitem 18.2.3.</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18.10.1.</w:t>
      </w:r>
      <w:r>
        <w:rPr>
          <w:rFonts w:eastAsia="Arial" w:cs="Arial" w:ascii="Arial" w:hAnsi="Arial"/>
          <w:color w:val="000000"/>
          <w:position w:val="0"/>
          <w:sz w:val="20"/>
          <w:sz w:val="20"/>
          <w:szCs w:val="20"/>
          <w:highlight w:val="white"/>
          <w:vertAlign w:val="baseline"/>
        </w:rPr>
        <w:t xml:space="preserve"> A multa moratória não impede que o CONTRATANTE rescinda unilateralmente o contrato e aplique as outras penalidades previstas neste Contrato.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18.10.2.</w:t>
      </w:r>
      <w:r>
        <w:rPr>
          <w:rFonts w:eastAsia="Arial" w:cs="Arial" w:ascii="Arial" w:hAnsi="Arial"/>
          <w:color w:val="000000"/>
          <w:position w:val="0"/>
          <w:sz w:val="20"/>
          <w:sz w:val="20"/>
          <w:szCs w:val="20"/>
          <w:highlight w:val="white"/>
          <w:vertAlign w:val="baseline"/>
        </w:rPr>
        <w:t xml:space="preserve"> A multa será descontada dos pagamentos ou da garantia do respectivo contrato, ou ainda, quando for o caso, cobrada judicialmente.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18.11.</w:t>
      </w:r>
      <w:r>
        <w:rPr>
          <w:rFonts w:eastAsia="Arial" w:cs="Arial" w:ascii="Arial" w:hAnsi="Arial"/>
          <w:color w:val="000000"/>
          <w:position w:val="0"/>
          <w:sz w:val="20"/>
          <w:sz w:val="20"/>
          <w:szCs w:val="20"/>
          <w:highlight w:val="white"/>
          <w:vertAlign w:val="baseline"/>
        </w:rPr>
        <w:t xml:space="preserve"> Pela inexecução total ou parcial, bem como pelo atraso injustificado na execução do contrato, o CONTRATANTE poderá aplicar as seguintes sanções:</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18.12.</w:t>
      </w:r>
      <w:r>
        <w:rPr>
          <w:rFonts w:eastAsia="Arial" w:cs="Arial" w:ascii="Arial" w:hAnsi="Arial"/>
          <w:color w:val="000000"/>
          <w:position w:val="0"/>
          <w:sz w:val="20"/>
          <w:sz w:val="20"/>
          <w:szCs w:val="20"/>
          <w:highlight w:val="white"/>
          <w:vertAlign w:val="baseline"/>
        </w:rPr>
        <w:t xml:space="preserve"> Advertência por escrito, em caso de descumprimento de quaisquer obrigações previstas no edital e seus anexos e neste contrato que não configurem hipóteses de aplicação de sanções mais graves;</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18.13.</w:t>
      </w:r>
      <w:r>
        <w:rPr>
          <w:rFonts w:eastAsia="Arial" w:cs="Arial" w:ascii="Arial" w:hAnsi="Arial"/>
          <w:color w:val="000000"/>
          <w:position w:val="0"/>
          <w:sz w:val="20"/>
          <w:sz w:val="20"/>
          <w:szCs w:val="20"/>
          <w:highlight w:val="white"/>
          <w:vertAlign w:val="baseline"/>
        </w:rPr>
        <w:t xml:space="preserve"> Multa de 0,</w:t>
      </w:r>
      <w:r>
        <w:rPr>
          <w:rFonts w:eastAsia="Arial" w:cs="Arial" w:ascii="Arial" w:hAnsi="Arial"/>
          <w:color w:val="000000"/>
          <w:position w:val="0"/>
          <w:sz w:val="20"/>
          <w:sz w:val="20"/>
          <w:szCs w:val="20"/>
          <w:vertAlign w:val="baseline"/>
        </w:rPr>
        <w:t>3</w:t>
      </w:r>
      <w:r>
        <w:rPr>
          <w:rFonts w:eastAsia="Arial" w:cs="Arial" w:ascii="Arial" w:hAnsi="Arial"/>
          <w:color w:val="000000"/>
          <w:position w:val="0"/>
          <w:sz w:val="20"/>
          <w:sz w:val="20"/>
          <w:szCs w:val="20"/>
          <w:highlight w:val="white"/>
          <w:vertAlign w:val="baseline"/>
        </w:rPr>
        <w:t>% (</w:t>
      </w:r>
      <w:r>
        <w:rPr>
          <w:rFonts w:eastAsia="Arial" w:cs="Arial" w:ascii="Arial" w:hAnsi="Arial"/>
          <w:color w:val="000000"/>
          <w:position w:val="0"/>
          <w:sz w:val="20"/>
          <w:sz w:val="20"/>
          <w:szCs w:val="20"/>
          <w:vertAlign w:val="baseline"/>
        </w:rPr>
        <w:t>três</w:t>
      </w:r>
      <w:r>
        <w:rPr>
          <w:rFonts w:eastAsia="Arial" w:cs="Arial" w:ascii="Arial" w:hAnsi="Arial"/>
          <w:color w:val="000000"/>
          <w:position w:val="0"/>
          <w:sz w:val="20"/>
          <w:sz w:val="20"/>
          <w:szCs w:val="20"/>
          <w:highlight w:val="white"/>
          <w:vertAlign w:val="baseline"/>
        </w:rPr>
        <w:t xml:space="preserve"> décimos por cento) por dia sobre o valor adjudicado em caso de atraso na execução dos serviços, limitada a incidência a </w:t>
      </w:r>
      <w:r>
        <w:rPr>
          <w:rFonts w:eastAsia="Arial" w:cs="Arial" w:ascii="Arial" w:hAnsi="Arial"/>
          <w:color w:val="000000"/>
          <w:position w:val="0"/>
          <w:sz w:val="20"/>
          <w:sz w:val="20"/>
          <w:szCs w:val="20"/>
          <w:vertAlign w:val="baseline"/>
        </w:rPr>
        <w:t>30%</w:t>
      </w:r>
      <w:r>
        <w:rPr>
          <w:rFonts w:eastAsia="Arial" w:cs="Arial" w:ascii="Arial" w:hAnsi="Arial"/>
          <w:color w:val="000000"/>
          <w:position w:val="0"/>
          <w:sz w:val="20"/>
          <w:sz w:val="20"/>
          <w:szCs w:val="20"/>
          <w:highlight w:val="white"/>
          <w:vertAlign w:val="baseline"/>
        </w:rPr>
        <w:t xml:space="preserve"> (</w:t>
      </w:r>
      <w:r>
        <w:rPr>
          <w:rFonts w:eastAsia="Arial" w:cs="Arial" w:ascii="Arial" w:hAnsi="Arial"/>
          <w:color w:val="000000"/>
          <w:position w:val="0"/>
          <w:sz w:val="20"/>
          <w:sz w:val="20"/>
          <w:szCs w:val="20"/>
          <w:vertAlign w:val="baseline"/>
        </w:rPr>
        <w:t>trinta por cento</w:t>
      </w:r>
      <w:r>
        <w:rPr>
          <w:rFonts w:eastAsia="Arial" w:cs="Arial" w:ascii="Arial" w:hAnsi="Arial"/>
          <w:color w:val="000000"/>
          <w:position w:val="0"/>
          <w:sz w:val="20"/>
          <w:sz w:val="20"/>
          <w:szCs w:val="20"/>
          <w:highlight w:val="white"/>
          <w:vertAlign w:val="baseline"/>
        </w:rPr>
        <w:t xml:space="preserve">). Após o </w:t>
      </w:r>
      <w:r>
        <w:rPr>
          <w:rFonts w:eastAsia="Arial" w:cs="Arial" w:ascii="Arial" w:hAnsi="Arial"/>
          <w:color w:val="000000"/>
          <w:position w:val="0"/>
          <w:sz w:val="20"/>
          <w:sz w:val="20"/>
          <w:szCs w:val="20"/>
          <w:vertAlign w:val="baseline"/>
        </w:rPr>
        <w:t>trigésimo</w:t>
      </w:r>
      <w:r>
        <w:rPr>
          <w:rFonts w:eastAsia="Arial" w:cs="Arial" w:ascii="Arial" w:hAnsi="Arial"/>
          <w:color w:val="000000"/>
          <w:position w:val="0"/>
          <w:sz w:val="20"/>
          <w:sz w:val="20"/>
          <w:szCs w:val="20"/>
          <w:highlight w:val="white"/>
          <w:vertAlign w:val="baseline"/>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rFonts w:eastAsia="Arial" w:cs="Arial" w:ascii="Arial" w:hAnsi="Arial"/>
          <w:color w:val="000000"/>
          <w:position w:val="0"/>
          <w:sz w:val="20"/>
          <w:sz w:val="20"/>
          <w:szCs w:val="20"/>
          <w:vertAlign w:val="baseline"/>
        </w:rPr>
        <w:t>a partir do 31º (trigésimo primeiro) dia será cabível a multa compensatória</w:t>
      </w:r>
      <w:r>
        <w:rPr>
          <w:rFonts w:eastAsia="Arial" w:cs="Arial" w:ascii="Arial" w:hAnsi="Arial"/>
          <w:color w:val="000000"/>
          <w:position w:val="0"/>
          <w:sz w:val="20"/>
          <w:sz w:val="20"/>
          <w:szCs w:val="20"/>
          <w:highlight w:val="white"/>
          <w:vertAlign w:val="baseline"/>
        </w:rPr>
        <w:t>;</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18.14.</w:t>
      </w:r>
      <w:r>
        <w:rPr>
          <w:rFonts w:eastAsia="Arial" w:cs="Arial" w:ascii="Arial" w:hAnsi="Arial"/>
          <w:color w:val="000000"/>
          <w:position w:val="0"/>
          <w:sz w:val="20"/>
          <w:sz w:val="20"/>
          <w:szCs w:val="20"/>
          <w:highlight w:val="white"/>
          <w:vertAlign w:val="baseline"/>
        </w:rPr>
        <w:t xml:space="preserve"> Multa de </w:t>
      </w:r>
      <w:r>
        <w:rPr>
          <w:rFonts w:eastAsia="Arial" w:cs="Arial" w:ascii="Arial" w:hAnsi="Arial"/>
          <w:color w:val="000000"/>
          <w:position w:val="0"/>
          <w:sz w:val="20"/>
          <w:sz w:val="20"/>
          <w:szCs w:val="20"/>
          <w:vertAlign w:val="baseline"/>
        </w:rPr>
        <w:t>10</w:t>
      </w:r>
      <w:r>
        <w:rPr>
          <w:rFonts w:eastAsia="Arial" w:cs="Arial" w:ascii="Arial" w:hAnsi="Arial"/>
          <w:color w:val="000000"/>
          <w:position w:val="0"/>
          <w:sz w:val="20"/>
          <w:sz w:val="20"/>
          <w:szCs w:val="20"/>
          <w:highlight w:val="white"/>
          <w:vertAlign w:val="baseline"/>
        </w:rPr>
        <w:t>% (</w:t>
      </w:r>
      <w:r>
        <w:rPr>
          <w:rFonts w:eastAsia="Arial" w:cs="Arial" w:ascii="Arial" w:hAnsi="Arial"/>
          <w:color w:val="000000"/>
          <w:position w:val="0"/>
          <w:sz w:val="20"/>
          <w:sz w:val="20"/>
          <w:szCs w:val="20"/>
          <w:vertAlign w:val="baseline"/>
        </w:rPr>
        <w:t>dez</w:t>
      </w:r>
      <w:r>
        <w:rPr>
          <w:rFonts w:eastAsia="Arial" w:cs="Arial" w:ascii="Arial" w:hAnsi="Arial"/>
          <w:color w:val="000000"/>
          <w:position w:val="0"/>
          <w:sz w:val="20"/>
          <w:sz w:val="20"/>
          <w:szCs w:val="20"/>
          <w:highlight w:val="white"/>
          <w:vertAlign w:val="baseline"/>
        </w:rPr>
        <w:t xml:space="preserve"> por cento) até </w:t>
      </w:r>
      <w:r>
        <w:rPr>
          <w:rFonts w:eastAsia="Arial" w:cs="Arial" w:ascii="Arial" w:hAnsi="Arial"/>
          <w:color w:val="000000"/>
          <w:position w:val="0"/>
          <w:sz w:val="20"/>
          <w:sz w:val="20"/>
          <w:szCs w:val="20"/>
          <w:vertAlign w:val="baseline"/>
        </w:rPr>
        <w:t>3</w:t>
      </w:r>
      <w:r>
        <w:rPr>
          <w:rFonts w:eastAsia="Arial" w:cs="Arial" w:ascii="Arial" w:hAnsi="Arial"/>
          <w:color w:val="000000"/>
          <w:position w:val="0"/>
          <w:sz w:val="20"/>
          <w:sz w:val="20"/>
          <w:szCs w:val="20"/>
          <w:highlight w:val="white"/>
          <w:vertAlign w:val="baseline"/>
        </w:rPr>
        <w:t>0% (</w:t>
      </w:r>
      <w:r>
        <w:rPr>
          <w:rFonts w:eastAsia="Arial" w:cs="Arial" w:ascii="Arial" w:hAnsi="Arial"/>
          <w:color w:val="000000"/>
          <w:position w:val="0"/>
          <w:sz w:val="20"/>
          <w:sz w:val="20"/>
          <w:szCs w:val="20"/>
          <w:vertAlign w:val="baseline"/>
        </w:rPr>
        <w:t>trinta</w:t>
      </w:r>
      <w:r>
        <w:rPr>
          <w:rFonts w:eastAsia="Arial" w:cs="Arial" w:ascii="Arial" w:hAnsi="Arial"/>
          <w:color w:val="000000"/>
          <w:position w:val="0"/>
          <w:sz w:val="20"/>
          <w:sz w:val="20"/>
          <w:szCs w:val="20"/>
          <w:highlight w:val="white"/>
          <w:vertAlign w:val="baseline"/>
        </w:rPr>
        <w:t xml:space="preserve"> por cento) sobre o valor adjudicado, em caso de inexecução parcial da obrigação assumida que cause grave dano à Administração, ao funcionamento dos serviços públicos ou ao interesse coletivo;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18.15.</w:t>
      </w:r>
      <w:r>
        <w:rPr>
          <w:rFonts w:eastAsia="Arial" w:cs="Arial" w:ascii="Arial" w:hAnsi="Arial"/>
          <w:color w:val="000000"/>
          <w:position w:val="0"/>
          <w:sz w:val="20"/>
          <w:sz w:val="20"/>
          <w:szCs w:val="20"/>
          <w:highlight w:val="white"/>
          <w:vertAlign w:val="baseline"/>
        </w:rPr>
        <w:t xml:space="preserve"> Multa de 30% (vinte por cento) sobre o valor total do contrato, nos casos de inexecução total do objeto;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color w:val="C9211E"/>
          <w:position w:val="0"/>
          <w:sz w:val="20"/>
          <w:sz w:val="20"/>
          <w:szCs w:val="20"/>
          <w:vertAlign w:val="baseline"/>
        </w:rPr>
      </w:pPr>
      <w:r>
        <w:rPr>
          <w:rFonts w:eastAsia="Arial" w:cs="Arial" w:ascii="Arial" w:hAnsi="Arial"/>
          <w:b/>
          <w:color w:val="000000"/>
          <w:position w:val="0"/>
          <w:sz w:val="20"/>
          <w:sz w:val="20"/>
          <w:szCs w:val="20"/>
          <w:vertAlign w:val="baseline"/>
        </w:rPr>
        <w:t>18.16.</w:t>
      </w:r>
      <w:r>
        <w:rPr>
          <w:rFonts w:eastAsia="Arial" w:cs="Arial" w:ascii="Arial" w:hAnsi="Arial"/>
          <w:color w:val="000000"/>
          <w:position w:val="0"/>
          <w:sz w:val="20"/>
          <w:sz w:val="20"/>
          <w:szCs w:val="20"/>
          <w:vertAlign w:val="baseline"/>
        </w:rPr>
        <w:t xml:space="preserve"> Multa de 0,5% a 5,0% por dia sobre o valor mensal do contrato, conforme detalhamento constante das </w:t>
      </w:r>
      <w:r>
        <w:rPr>
          <w:rFonts w:eastAsia="Arial" w:cs="Arial" w:ascii="Arial" w:hAnsi="Arial"/>
          <w:b/>
          <w:color w:val="000000"/>
          <w:position w:val="0"/>
          <w:sz w:val="20"/>
          <w:sz w:val="20"/>
          <w:szCs w:val="20"/>
          <w:vertAlign w:val="baseline"/>
        </w:rPr>
        <w:t>tabelas 1 e 2</w:t>
      </w:r>
      <w:r>
        <w:rPr>
          <w:rFonts w:eastAsia="Arial" w:cs="Arial" w:ascii="Arial" w:hAnsi="Arial"/>
          <w:color w:val="000000"/>
          <w:position w:val="0"/>
          <w:sz w:val="20"/>
          <w:sz w:val="20"/>
          <w:szCs w:val="20"/>
          <w:vertAlign w:val="baseline"/>
        </w:rPr>
        <w:t>, abaixo;</w:t>
      </w:r>
    </w:p>
    <w:p>
      <w:pPr>
        <w:pStyle w:val="Normal1"/>
        <w:widowControl w:val="false"/>
        <w:tabs>
          <w:tab w:val="clear" w:pos="720"/>
          <w:tab w:val="left" w:pos="0" w:leader="none"/>
          <w:tab w:val="left" w:pos="993" w:leader="none"/>
        </w:tabs>
        <w:spacing w:lineRule="auto" w:line="240" w:before="57" w:after="57"/>
        <w:rPr>
          <w:rFonts w:ascii="Arial" w:hAnsi="Arial" w:eastAsia="Arial" w:cs="Arial"/>
          <w:color w:val="C9211E"/>
          <w:position w:val="0"/>
          <w:sz w:val="20"/>
          <w:sz w:val="20"/>
          <w:szCs w:val="20"/>
          <w:vertAlign w:val="baseline"/>
        </w:rPr>
      </w:pPr>
      <w:r>
        <w:rPr>
          <w:rFonts w:eastAsia="Arial" w:cs="Arial" w:ascii="Arial" w:hAnsi="Arial"/>
          <w:color w:val="C9211E"/>
          <w:position w:val="0"/>
          <w:sz w:val="20"/>
          <w:sz w:val="20"/>
          <w:szCs w:val="20"/>
          <w:vertAlign w:val="baseline"/>
        </w:rPr>
      </w:r>
    </w:p>
    <w:tbl>
      <w:tblPr>
        <w:tblStyle w:val="Table54"/>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39</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Os patamares estabelecidos nas tabelas 1 e 2 poderão ser alterados a critério da autoridade competente, considerando as especificidades do objeto da licitação.</w:t>
            </w:r>
          </w:p>
        </w:tc>
      </w:tr>
    </w:tbl>
    <w:p>
      <w:pPr>
        <w:pStyle w:val="Normal1"/>
        <w:widowControl w:val="false"/>
        <w:tabs>
          <w:tab w:val="clear" w:pos="720"/>
          <w:tab w:val="left" w:pos="0" w:leader="none"/>
          <w:tab w:val="left" w:pos="993" w:leader="none"/>
        </w:tabs>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18.17.</w:t>
      </w:r>
      <w:r>
        <w:rPr>
          <w:rFonts w:eastAsia="Arial" w:cs="Arial" w:ascii="Arial" w:hAnsi="Arial"/>
          <w:color w:val="000000"/>
          <w:position w:val="0"/>
          <w:sz w:val="20"/>
          <w:sz w:val="20"/>
          <w:szCs w:val="20"/>
          <w:vertAlign w:val="baseline"/>
        </w:rPr>
        <w:t xml:space="preserve"> Para efeito de aplicação de multas, às infrações são atribuídos graus, de acordo com as tabelas 1 e 2:</w:t>
      </w:r>
    </w:p>
    <w:p>
      <w:pPr>
        <w:pStyle w:val="Normal1"/>
        <w:spacing w:lineRule="auto" w:line="240" w:before="57" w:after="0"/>
        <w:ind w:right="-3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Tabela 1</w:t>
      </w:r>
    </w:p>
    <w:tbl>
      <w:tblPr>
        <w:tblStyle w:val="Table55"/>
        <w:tblW w:w="9099" w:type="dxa"/>
        <w:jc w:val="left"/>
        <w:tblInd w:w="-75" w:type="dxa"/>
        <w:tblLayout w:type="fixed"/>
        <w:tblCellMar>
          <w:top w:w="0" w:type="dxa"/>
          <w:left w:w="108" w:type="dxa"/>
          <w:bottom w:w="0" w:type="dxa"/>
          <w:right w:w="108" w:type="dxa"/>
        </w:tblCellMar>
        <w:tblLook w:val="0000"/>
      </w:tblPr>
      <w:tblGrid>
        <w:gridCol w:w="2775"/>
        <w:gridCol w:w="6323"/>
      </w:tblGrid>
      <w:tr>
        <w:trPr>
          <w:trHeight w:val="180" w:hRule="atLeast"/>
        </w:trPr>
        <w:tc>
          <w:tcPr>
            <w:tcW w:w="277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GRAU</w:t>
            </w:r>
          </w:p>
        </w:tc>
        <w:tc>
          <w:tcPr>
            <w:tcW w:w="6323"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CORRESPONDÊNCIA</w:t>
            </w:r>
          </w:p>
        </w:tc>
      </w:tr>
      <w:tr>
        <w:trPr/>
        <w:tc>
          <w:tcPr>
            <w:tcW w:w="2775"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w:t>
            </w:r>
          </w:p>
        </w:tc>
        <w:tc>
          <w:tcPr>
            <w:tcW w:w="6323" w:type="dxa"/>
            <w:tcBorders>
              <w:top w:val="single" w:sz="12" w:space="0" w:color="C0C0C0"/>
              <w:left w:val="single" w:sz="12" w:space="0" w:color="C0C0C0"/>
              <w:bottom w:val="single" w:sz="12" w:space="0" w:color="C0C0C0"/>
              <w:right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0,5% ao dia sobre o valor da respectiva etapa do cronograma físico-financeiro do contrato</w:t>
            </w:r>
          </w:p>
        </w:tc>
      </w:tr>
      <w:tr>
        <w:trPr/>
        <w:tc>
          <w:tcPr>
            <w:tcW w:w="2775"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2</w:t>
            </w:r>
          </w:p>
        </w:tc>
        <w:tc>
          <w:tcPr>
            <w:tcW w:w="6323" w:type="dxa"/>
            <w:tcBorders>
              <w:top w:val="single" w:sz="12" w:space="0" w:color="C0C0C0"/>
              <w:left w:val="single" w:sz="12" w:space="0" w:color="C0C0C0"/>
              <w:bottom w:val="single" w:sz="12" w:space="0" w:color="C0C0C0"/>
              <w:right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1,0% ao dia sobre o valor da respectiva etapa do cronograma físico-financeiro do contrato</w:t>
            </w:r>
          </w:p>
        </w:tc>
      </w:tr>
      <w:tr>
        <w:trPr/>
        <w:tc>
          <w:tcPr>
            <w:tcW w:w="2775"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3</w:t>
            </w:r>
          </w:p>
        </w:tc>
        <w:tc>
          <w:tcPr>
            <w:tcW w:w="6323" w:type="dxa"/>
            <w:tcBorders>
              <w:top w:val="single" w:sz="12" w:space="0" w:color="C0C0C0"/>
              <w:left w:val="single" w:sz="12" w:space="0" w:color="C0C0C0"/>
              <w:bottom w:val="single" w:sz="12" w:space="0" w:color="C0C0C0"/>
              <w:right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1,5% ao dia sobre o valor da respectiva etapa do cronograma físico-financeiro do contrato</w:t>
            </w:r>
          </w:p>
        </w:tc>
      </w:tr>
      <w:tr>
        <w:trPr/>
        <w:tc>
          <w:tcPr>
            <w:tcW w:w="2775"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4</w:t>
            </w:r>
          </w:p>
        </w:tc>
        <w:tc>
          <w:tcPr>
            <w:tcW w:w="6323" w:type="dxa"/>
            <w:tcBorders>
              <w:top w:val="single" w:sz="12" w:space="0" w:color="C0C0C0"/>
              <w:left w:val="single" w:sz="12" w:space="0" w:color="C0C0C0"/>
              <w:bottom w:val="single" w:sz="12" w:space="0" w:color="C0C0C0"/>
              <w:right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2,5% ao dia sobre o valor da respectiva etapa do cronograma físico-financeiro do contrato</w:t>
            </w:r>
          </w:p>
        </w:tc>
      </w:tr>
      <w:tr>
        <w:trPr/>
        <w:tc>
          <w:tcPr>
            <w:tcW w:w="2775"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5</w:t>
            </w:r>
          </w:p>
        </w:tc>
        <w:tc>
          <w:tcPr>
            <w:tcW w:w="6323" w:type="dxa"/>
            <w:tcBorders>
              <w:top w:val="single" w:sz="12" w:space="0" w:color="C0C0C0"/>
              <w:left w:val="single" w:sz="12" w:space="0" w:color="C0C0C0"/>
              <w:bottom w:val="single" w:sz="12" w:space="0" w:color="C0C0C0"/>
              <w:right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5,0% ao dia sobre o valor da respectiva etapa do cronograma físico-financeiro do contrato</w:t>
            </w:r>
          </w:p>
        </w:tc>
      </w:tr>
    </w:tbl>
    <w:p>
      <w:pPr>
        <w:pStyle w:val="Normal1"/>
        <w:spacing w:lineRule="auto" w:line="240" w:before="57" w:after="0"/>
        <w:ind w:right="-3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Tabela 2</w:t>
      </w:r>
    </w:p>
    <w:tbl>
      <w:tblPr>
        <w:tblStyle w:val="Table56"/>
        <w:tblW w:w="9105" w:type="dxa"/>
        <w:jc w:val="left"/>
        <w:tblInd w:w="-75" w:type="dxa"/>
        <w:tblLayout w:type="fixed"/>
        <w:tblCellMar>
          <w:top w:w="0" w:type="dxa"/>
          <w:left w:w="108" w:type="dxa"/>
          <w:bottom w:w="0" w:type="dxa"/>
          <w:right w:w="108" w:type="dxa"/>
        </w:tblCellMar>
        <w:tblLook w:val="0000"/>
      </w:tblPr>
      <w:tblGrid>
        <w:gridCol w:w="2325"/>
        <w:gridCol w:w="4978"/>
        <w:gridCol w:w="1802"/>
      </w:tblGrid>
      <w:tr>
        <w:trPr>
          <w:trHeight w:val="60" w:hRule="atLeast"/>
        </w:trPr>
        <w:tc>
          <w:tcPr>
            <w:tcW w:w="9105" w:type="dxa"/>
            <w:gridSpan w:val="3"/>
            <w:tcBorders>
              <w:top w:val="single" w:sz="12" w:space="0" w:color="C0C0C0"/>
              <w:left w:val="single" w:sz="12" w:space="0" w:color="C0C0C0"/>
              <w:bottom w:val="single" w:sz="12" w:space="0" w:color="C0C0C0"/>
              <w:right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INFRAÇÃO</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ITEM</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DESCRIÇÃO</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GRAU</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Permitir situação que crie a possibilidade de causar dano físico, lesão corporal ou consequências letais, por ocorrência;</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05</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2</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Suspender ou interromper, salvo motivo de força maior ou caso fortuito, os serviços contratuais;</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04</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3</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Manter trabalhador sem qualificação exigida para executar os serviços contratados, ou deixar de substituir trabalhador quando exigido pela fiscalização, por trabalhador;</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03</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4</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Recusar-se a executar ou corrigir serviço determinado pela fiscalização, por serviço;</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02</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5</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Permitir a execução de serviços sem a utilização de EPIs/EPCs, por trabalhador;</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01</w:t>
            </w:r>
          </w:p>
        </w:tc>
      </w:tr>
      <w:tr>
        <w:trPr>
          <w:trHeight w:val="225" w:hRule="atLeast"/>
        </w:trPr>
        <w:tc>
          <w:tcPr>
            <w:tcW w:w="9105" w:type="dxa"/>
            <w:gridSpan w:val="3"/>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b/>
                <w:color w:val="000000"/>
                <w:position w:val="0"/>
                <w:sz w:val="20"/>
                <w:sz w:val="20"/>
                <w:szCs w:val="20"/>
                <w:vertAlign w:val="baseline"/>
              </w:rPr>
              <w:t>Para os itens a seguir, deixar de:</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6</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Registrar no Diário de Obras todas as ocorrências diárias, bem como especificar detalhadamente os serviços em execução.</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01</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7</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Cumprir determinação formal ou instrução complementar do órgão fiscalizador, por ocorrência;</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02</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8</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Substituir trabalhador que se conduza de modo inconveniente ou não atenda às necessidades do serviço, por trabalhador e por dia;</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01</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9</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Cumprir quaisquer dos itens do Edital e seus Anexos não previstos nesta tabela de multas, após reincidência formalmente notificada pelo órgão fiscalizador, por item e por ocorrência;</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03</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10</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Indicar e manter durante a execução do contrato os prepostos previstos no edital/contrato;</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01</w:t>
            </w:r>
          </w:p>
        </w:tc>
      </w:tr>
      <w:tr>
        <w:trPr/>
        <w:tc>
          <w:tcPr>
            <w:tcW w:w="2325" w:type="dxa"/>
            <w:tcBorders>
              <w:top w:val="single" w:sz="12" w:space="0" w:color="C0C0C0"/>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11</w:t>
            </w:r>
          </w:p>
        </w:tc>
        <w:tc>
          <w:tcPr>
            <w:tcW w:w="4978" w:type="dxa"/>
            <w:tcBorders>
              <w:top w:val="single" w:sz="12" w:space="0" w:color="C0C0C0"/>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Providenciar treinamento para seus funcionários conforme previsto na relação de obrigações do CONTRATADO</w:t>
            </w:r>
          </w:p>
        </w:tc>
        <w:tc>
          <w:tcPr>
            <w:tcW w:w="1802" w:type="dxa"/>
            <w:tcBorders>
              <w:top w:val="single" w:sz="12" w:space="0" w:color="C0C0C0"/>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01</w:t>
            </w:r>
          </w:p>
        </w:tc>
      </w:tr>
      <w:tr>
        <w:trPr/>
        <w:tc>
          <w:tcPr>
            <w:tcW w:w="2325" w:type="dxa"/>
            <w:tcBorders>
              <w:left w:val="single" w:sz="12" w:space="0" w:color="C0C0C0"/>
              <w:bottom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12</w:t>
            </w:r>
          </w:p>
        </w:tc>
        <w:tc>
          <w:tcPr>
            <w:tcW w:w="4978" w:type="dxa"/>
            <w:tcBorders>
              <w:left w:val="single" w:sz="12" w:space="0" w:color="C0C0C0"/>
              <w:bottom w:val="single" w:sz="12" w:space="0" w:color="C0C0C0"/>
            </w:tcBorders>
            <w:shd w:fill="auto" w:val="clea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Zelar pelas instalações da Administração ou de terceiros.</w:t>
            </w:r>
          </w:p>
        </w:tc>
        <w:tc>
          <w:tcPr>
            <w:tcW w:w="1802" w:type="dxa"/>
            <w:tcBorders>
              <w:left w:val="single" w:sz="12" w:space="0" w:color="C0C0C0"/>
              <w:bottom w:val="single" w:sz="12" w:space="0" w:color="C0C0C0"/>
              <w:right w:val="single" w:sz="12" w:space="0" w:color="C0C0C0"/>
            </w:tcBorders>
            <w:shd w:fill="auto" w:val="clear"/>
            <w:vAlign w:val="center"/>
          </w:tcPr>
          <w:p>
            <w:pPr>
              <w:pStyle w:val="Normal1"/>
              <w:widowControl w:val="false"/>
              <w:spacing w:lineRule="auto" w:line="240" w:before="57" w:after="0"/>
              <w:ind w:right="-30"/>
              <w:jc w:val="center"/>
              <w:rPr>
                <w:position w:val="0"/>
                <w:sz w:val="24"/>
                <w:sz w:val="24"/>
                <w:vertAlign w:val="baseline"/>
              </w:rPr>
            </w:pPr>
            <w:r>
              <w:rPr>
                <w:rFonts w:eastAsia="Arial" w:cs="Arial" w:ascii="Arial" w:hAnsi="Arial"/>
                <w:color w:val="000000"/>
                <w:position w:val="0"/>
                <w:sz w:val="20"/>
                <w:sz w:val="20"/>
                <w:szCs w:val="20"/>
                <w:vertAlign w:val="baseline"/>
              </w:rPr>
              <w:t>03</w:t>
            </w:r>
          </w:p>
        </w:tc>
      </w:tr>
    </w:tbl>
    <w:p>
      <w:pPr>
        <w:pStyle w:val="Normal1"/>
        <w:spacing w:lineRule="auto" w:line="240" w:before="57" w:after="0"/>
        <w:ind w:hanging="0" w:left="9" w:right="-55"/>
        <w:jc w:val="both"/>
        <w:rPr>
          <w:rFonts w:ascii="Arial" w:hAnsi="Arial" w:eastAsia="Arial" w:cs="Arial"/>
          <w:color w:val="000000"/>
          <w:position w:val="0"/>
          <w:sz w:val="24"/>
          <w:sz w:val="24"/>
          <w:vertAlign w:val="baseline"/>
        </w:rPr>
      </w:pPr>
      <w:r>
        <w:rPr>
          <w:rFonts w:eastAsia="Arial" w:cs="Arial" w:ascii="Arial" w:hAnsi="Arial"/>
          <w:color w:val="000000"/>
          <w:position w:val="0"/>
          <w:sz w:val="24"/>
          <w:sz w:val="24"/>
          <w:vertAlign w:val="baseline"/>
        </w:rPr>
      </w:r>
    </w:p>
    <w:p>
      <w:pPr>
        <w:pStyle w:val="Normal1"/>
        <w:spacing w:lineRule="auto" w:line="240" w:before="57" w:after="0"/>
        <w:ind w:hanging="0" w:left="9" w:right="-55"/>
        <w:jc w:val="both"/>
        <w:rPr>
          <w:rFonts w:ascii="Arial" w:hAnsi="Arial" w:eastAsia="Arial" w:cs="Arial"/>
          <w:color w:val="000000"/>
          <w:position w:val="0"/>
          <w:sz w:val="24"/>
          <w:sz w:val="24"/>
          <w:vertAlign w:val="baseline"/>
        </w:rPr>
      </w:pPr>
      <w:r>
        <w:rPr>
          <w:rFonts w:eastAsia="Arial" w:cs="Arial" w:ascii="Arial" w:hAnsi="Arial"/>
          <w:color w:val="000000"/>
          <w:position w:val="0"/>
          <w:sz w:val="24"/>
          <w:sz w:val="24"/>
          <w:vertAlign w:val="baseline"/>
        </w:rPr>
      </w:r>
    </w:p>
    <w:tbl>
      <w:tblPr>
        <w:tblStyle w:val="Table57"/>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Nota explicativa </w:t>
            </w:r>
            <w:r>
              <w:rPr>
                <w:rFonts w:eastAsia="Arial" w:cs="Arial" w:ascii="Arial" w:hAnsi="Arial"/>
                <w:b/>
                <w:color w:val="000000"/>
                <w:position w:val="0"/>
                <w:sz w:val="20"/>
                <w:sz w:val="20"/>
                <w:szCs w:val="20"/>
                <w:vertAlign w:val="baseline"/>
              </w:rPr>
              <w:fldChar w:fldCharType="begin"/>
            </w:r>
            <w:r>
              <w:rPr>
                <w:vertAlign w:val="baseline"/>
                <w:position w:val="0"/>
                <w:sz w:val="20"/>
                <w:sz w:val="20"/>
                <w:b/>
                <w:szCs w:val="20"/>
                <w:rFonts w:eastAsia="Arial" w:cs="Arial" w:ascii="Arial" w:hAnsi="Arial"/>
                <w:color w:val="000000"/>
              </w:rPr>
              <w:instrText xml:space="preserve"> SEQ Desenho \* ARABIC </w:instrText>
            </w:r>
            <w:r>
              <w:rPr>
                <w:vertAlign w:val="baseline"/>
                <w:position w:val="0"/>
                <w:sz w:val="20"/>
                <w:sz w:val="20"/>
                <w:b/>
                <w:szCs w:val="20"/>
                <w:rFonts w:eastAsia="Arial" w:cs="Arial" w:ascii="Arial" w:hAnsi="Arial"/>
                <w:color w:val="000000"/>
              </w:rPr>
              <w:fldChar w:fldCharType="separate"/>
            </w:r>
            <w:r>
              <w:rPr>
                <w:vertAlign w:val="baseline"/>
                <w:position w:val="0"/>
                <w:sz w:val="20"/>
                <w:sz w:val="20"/>
                <w:b/>
                <w:szCs w:val="20"/>
                <w:rFonts w:eastAsia="Arial" w:cs="Arial" w:ascii="Arial" w:hAnsi="Arial"/>
                <w:color w:val="000000"/>
              </w:rPr>
              <w:t>40</w:t>
            </w:r>
            <w:r>
              <w:rPr>
                <w:vertAlign w:val="baseline"/>
                <w:position w:val="0"/>
                <w:sz w:val="20"/>
                <w:sz w:val="20"/>
                <w:b/>
                <w:szCs w:val="20"/>
                <w:rFonts w:eastAsia="Arial" w:cs="Arial" w:ascii="Arial" w:hAnsi="Arial"/>
                <w:color w:val="000000"/>
              </w:rPr>
              <w:fldChar w:fldCharType="end"/>
            </w:r>
            <w:r>
              <w:rPr>
                <w:rFonts w:eastAsia="Arial" w:cs="Arial" w:ascii="Arial" w:hAnsi="Arial"/>
                <w:b/>
                <w:color w:val="000000"/>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autoridade poderá incluir na tabela de infrações outras condutas que entender necessárias, pertinentes ao serviço prestado, ou retirar as que entender serem inadequadas ao objeto contratual em questão.</w:t>
            </w:r>
          </w:p>
        </w:tc>
      </w:tr>
    </w:tbl>
    <w:p>
      <w:pPr>
        <w:pStyle w:val="Normal1"/>
        <w:spacing w:lineRule="auto" w:line="240" w:before="57" w:after="0"/>
        <w:ind w:hanging="0" w:left="9" w:right="-55"/>
        <w:jc w:val="both"/>
        <w:rPr>
          <w:rFonts w:ascii="Arial" w:hAnsi="Arial" w:eastAsia="Arial" w:cs="Arial"/>
          <w:color w:val="000000"/>
          <w:position w:val="0"/>
          <w:sz w:val="24"/>
          <w:sz w:val="24"/>
          <w:vertAlign w:val="baseline"/>
        </w:rPr>
      </w:pPr>
      <w:r>
        <w:rPr>
          <w:rFonts w:eastAsia="Arial" w:cs="Arial" w:ascii="Arial" w:hAnsi="Arial"/>
          <w:color w:val="000000"/>
          <w:position w:val="0"/>
          <w:sz w:val="24"/>
          <w:sz w:val="24"/>
          <w:vertAlign w:val="baseline"/>
        </w:rPr>
      </w:r>
    </w:p>
    <w:p>
      <w:pPr>
        <w:pStyle w:val="Normal1"/>
        <w:widowControl w:val="false"/>
        <w:tabs>
          <w:tab w:val="clear" w:pos="720"/>
          <w:tab w:val="left" w:pos="-7200" w:leader="none"/>
          <w:tab w:val="left" w:pos="-6207" w:leader="none"/>
        </w:tabs>
        <w:spacing w:lineRule="auto" w:line="240" w:before="57" w:after="57"/>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18.18. </w:t>
      </w:r>
      <w:r>
        <w:rPr>
          <w:rFonts w:eastAsia="Arial" w:cs="Arial" w:ascii="Arial" w:hAnsi="Arial"/>
          <w:color w:val="000000"/>
          <w:position w:val="0"/>
          <w:sz w:val="20"/>
          <w:sz w:val="20"/>
          <w:szCs w:val="20"/>
          <w:highlight w:val="white"/>
          <w:vertAlign w:val="baseline"/>
        </w:rPr>
        <w:t>As penalidades de multa decorrentes de fatos diversos serão consideradas independentes entre si.</w:t>
      </w:r>
    </w:p>
    <w:p>
      <w:pPr>
        <w:pStyle w:val="Normal1"/>
        <w:widowControl w:val="false"/>
        <w:tabs>
          <w:tab w:val="clear" w:pos="720"/>
          <w:tab w:val="left" w:pos="0" w:leader="none"/>
          <w:tab w:val="left" w:pos="993"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18.19. </w:t>
      </w:r>
      <w:r>
        <w:rPr>
          <w:rFonts w:eastAsia="Arial" w:cs="Arial" w:ascii="Arial" w:hAnsi="Arial"/>
          <w:color w:val="000000"/>
          <w:position w:val="0"/>
          <w:sz w:val="20"/>
          <w:sz w:val="20"/>
          <w:szCs w:val="20"/>
          <w:vertAlign w:val="baseline"/>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18.20. </w:t>
      </w:r>
      <w:r>
        <w:rPr>
          <w:rFonts w:eastAsia="Arial" w:cs="Arial" w:ascii="Arial" w:hAnsi="Arial"/>
          <w:position w:val="0"/>
          <w:sz w:val="20"/>
          <w:sz w:val="20"/>
          <w:szCs w:val="20"/>
          <w:highlight w:val="white"/>
          <w:vertAlign w:val="baseline"/>
        </w:rPr>
        <w:t>Impedimento de contratar</w:t>
      </w:r>
      <w:r>
        <w:rPr>
          <w:rFonts w:eastAsia="Arial" w:cs="Arial" w:ascii="Arial" w:hAnsi="Arial"/>
          <w:color w:val="000000"/>
          <w:position w:val="0"/>
          <w:sz w:val="20"/>
          <w:sz w:val="20"/>
          <w:szCs w:val="20"/>
          <w:vertAlign w:val="baseline"/>
        </w:rPr>
        <w:t xml:space="preserve"> no âmbito da Administração Pública direta e indireta do Estado do Paraná</w:t>
      </w:r>
      <w:r>
        <w:rPr>
          <w:rFonts w:eastAsia="Arial" w:cs="Arial" w:ascii="Arial" w:hAnsi="Arial"/>
          <w:position w:val="0"/>
          <w:sz w:val="20"/>
          <w:sz w:val="20"/>
          <w:szCs w:val="20"/>
          <w:highlight w:val="white"/>
          <w:vertAlign w:val="baseline"/>
        </w:rPr>
        <w:t>, por prazo não superior a 3 (três) anos, nos casos e na forma previstos na Lei Federal nº 14.133/2021 e no Decreto Estadual nº 10.086/2022;</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18.21.</w:t>
      </w:r>
      <w:r>
        <w:rPr>
          <w:rFonts w:eastAsia="Arial" w:cs="Arial" w:ascii="Arial" w:hAnsi="Arial"/>
          <w:position w:val="0"/>
          <w:sz w:val="20"/>
          <w:sz w:val="20"/>
          <w:szCs w:val="20"/>
          <w:highlight w:val="white"/>
          <w:vertAlign w:val="baseline"/>
        </w:rPr>
        <w:t>Declaração de inidoneidade para licitar e contratar com o Estado, nos casos e na forma previstos na Lei Federal nº 14.133/2021 e no Decreto Estadual nº 10.086/2022;</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18.22. </w:t>
      </w:r>
      <w:r>
        <w:rPr>
          <w:rFonts w:eastAsia="Arial" w:cs="Arial" w:ascii="Arial" w:hAnsi="Arial"/>
          <w:position w:val="0"/>
          <w:sz w:val="20"/>
          <w:sz w:val="20"/>
          <w:szCs w:val="20"/>
          <w:highlight w:val="white"/>
          <w:vertAlign w:val="baseline"/>
        </w:rPr>
        <w:t xml:space="preserve">As sanções de advertência; impedimento de licitar e contratar; e </w:t>
      </w:r>
      <w:r>
        <w:rPr>
          <w:rFonts w:eastAsia="Arial" w:cs="Arial" w:ascii="Arial" w:hAnsi="Arial"/>
          <w:position w:val="0"/>
          <w:sz w:val="20"/>
          <w:sz w:val="20"/>
          <w:szCs w:val="20"/>
          <w:vertAlign w:val="baseline"/>
        </w:rPr>
        <w:t>declaração de inidoneidade para licitar ou contratar,</w:t>
      </w:r>
      <w:r>
        <w:rPr>
          <w:rFonts w:eastAsia="Arial" w:cs="Arial" w:ascii="Arial" w:hAnsi="Arial"/>
          <w:position w:val="0"/>
          <w:sz w:val="20"/>
          <w:sz w:val="20"/>
          <w:szCs w:val="20"/>
          <w:highlight w:val="white"/>
          <w:vertAlign w:val="baseline"/>
        </w:rPr>
        <w:t xml:space="preserve"> poderão ser aplicadas cumulativamente com a pena de multa.</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18.23. </w:t>
      </w:r>
      <w:r>
        <w:rPr>
          <w:rFonts w:eastAsia="Arial" w:cs="Arial" w:ascii="Arial" w:hAnsi="Arial"/>
          <w:position w:val="0"/>
          <w:sz w:val="20"/>
          <w:sz w:val="20"/>
          <w:szCs w:val="20"/>
          <w:highlight w:val="white"/>
          <w:vertAlign w:val="baseline"/>
        </w:rPr>
        <w:t>S</w:t>
      </w:r>
      <w:r>
        <w:rPr>
          <w:rFonts w:eastAsia="Arial" w:cs="Arial" w:ascii="Arial" w:hAnsi="Arial"/>
          <w:position w:val="0"/>
          <w:sz w:val="20"/>
          <w:sz w:val="20"/>
          <w:szCs w:val="20"/>
          <w:vertAlign w:val="baseline"/>
        </w:rPr>
        <w:t>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 xml:space="preserve">18.24. </w:t>
      </w:r>
      <w:r>
        <w:rPr>
          <w:rFonts w:eastAsia="Arial" w:cs="Arial" w:ascii="Arial" w:hAnsi="Arial"/>
          <w:position w:val="0"/>
          <w:sz w:val="20"/>
          <w:sz w:val="20"/>
          <w:szCs w:val="20"/>
          <w:highlight w:val="white"/>
          <w:vertAlign w:val="baseline"/>
        </w:rPr>
        <w:t xml:space="preserve">Após encerramento do processo administrativo, </w:t>
      </w:r>
      <w:r>
        <w:rPr>
          <w:rFonts w:eastAsia="Arial" w:cs="Arial" w:ascii="Arial" w:hAnsi="Arial"/>
          <w:color w:val="000000"/>
          <w:position w:val="0"/>
          <w:sz w:val="20"/>
          <w:sz w:val="20"/>
          <w:szCs w:val="20"/>
          <w:highlight w:val="white"/>
          <w:vertAlign w:val="baseline"/>
        </w:rPr>
        <w:t>a importância devida correspondente à aplicação de multa deverá ser recolhida junto ao CONTRATANTE em até 5 (cinco) dias úteis, contados da notificação do CONTRATADO.</w:t>
      </w:r>
    </w:p>
    <w:p>
      <w:pPr>
        <w:pStyle w:val="Normal1"/>
        <w:widowControl w:val="false"/>
        <w:tabs>
          <w:tab w:val="clear" w:pos="720"/>
          <w:tab w:val="left" w:pos="0" w:leader="none"/>
          <w:tab w:val="left" w:pos="993" w:leader="none"/>
        </w:tabs>
        <w:spacing w:lineRule="auto" w:line="240" w:before="57" w:after="57"/>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57"/>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19. CLÁUSULA DÉCIMA NONA – DO RECEBIMENTO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19.1.</w:t>
      </w:r>
      <w:r>
        <w:rPr>
          <w:rFonts w:eastAsia="Arial" w:cs="Arial" w:ascii="Arial" w:hAnsi="Arial"/>
          <w:color w:val="000000"/>
          <w:position w:val="0"/>
          <w:sz w:val="20"/>
          <w:sz w:val="20"/>
          <w:szCs w:val="20"/>
          <w:highlight w:val="white"/>
          <w:vertAlign w:val="baseline"/>
        </w:rPr>
        <w:t xml:space="preserve"> Executado o contrato o seu objeto será recebido</w:t>
      </w:r>
    </w:p>
    <w:p>
      <w:pPr>
        <w:pStyle w:val="Normal1"/>
        <w:widowControl w:val="false"/>
        <w:tabs>
          <w:tab w:val="clear" w:pos="720"/>
          <w:tab w:val="left" w:pos="-10800" w:leader="none"/>
          <w:tab w:val="left" w:pos="-9807" w:leader="none"/>
        </w:tabs>
        <w:spacing w:lineRule="auto" w:line="240" w:before="57"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19.1.2.</w:t>
      </w:r>
      <w:r>
        <w:rPr>
          <w:rFonts w:eastAsia="Arial" w:cs="Arial" w:ascii="Arial" w:hAnsi="Arial"/>
          <w:color w:val="000000"/>
          <w:position w:val="0"/>
          <w:sz w:val="20"/>
          <w:sz w:val="20"/>
          <w:szCs w:val="20"/>
          <w:highlight w:val="white"/>
          <w:vertAlign w:val="baseline"/>
        </w:rPr>
        <w:t xml:space="preserve"> Provisoriamente, quando da conclusão da obra ou serviço, pelo fiscal do contrato ou por comissão de no mínimo 3 (três) membros designados pela autoridade administrativa competente, neste caso com a participação do responsável pela fiscalização da obra ou serviço de engenharia, mediante termo circunstanciado, assinado pelas partes em até 15 (quinze) dias da comunicação escrita do CONTRATADO, com duração máxima de</w:t>
      </w:r>
      <w:r>
        <w:rPr>
          <w:rFonts w:eastAsia="Arial" w:cs="Arial" w:ascii="Arial" w:hAnsi="Arial"/>
          <w:color w:val="000000"/>
          <w:position w:val="0"/>
          <w:sz w:val="20"/>
          <w:sz w:val="20"/>
          <w:szCs w:val="20"/>
          <w:highlight w:val="yellow"/>
          <w:vertAlign w:val="baseline"/>
        </w:rPr>
        <w:t xml:space="preserve"> ___ (_________)</w:t>
      </w:r>
      <w:r>
        <w:rPr>
          <w:rFonts w:eastAsia="Arial" w:cs="Arial" w:ascii="Arial" w:hAnsi="Arial"/>
          <w:color w:val="000000"/>
          <w:position w:val="0"/>
          <w:sz w:val="20"/>
          <w:sz w:val="20"/>
          <w:szCs w:val="20"/>
          <w:highlight w:val="white"/>
          <w:vertAlign w:val="baseline"/>
        </w:rPr>
        <w:t xml:space="preserve"> dias.</w:t>
      </w:r>
    </w:p>
    <w:p>
      <w:pPr>
        <w:pStyle w:val="Normal1"/>
        <w:widowControl w:val="false"/>
        <w:tabs>
          <w:tab w:val="clear" w:pos="720"/>
          <w:tab w:val="left" w:pos="-10800" w:leader="none"/>
          <w:tab w:val="left" w:pos="-9807"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19.1.3.</w:t>
      </w:r>
      <w:r>
        <w:rPr>
          <w:rFonts w:eastAsia="Arial" w:cs="Arial" w:ascii="Arial" w:hAnsi="Arial"/>
          <w:color w:val="000000"/>
          <w:position w:val="0"/>
          <w:sz w:val="20"/>
          <w:sz w:val="20"/>
          <w:szCs w:val="20"/>
          <w:highlight w:val="white"/>
          <w:vertAlign w:val="baseline"/>
        </w:rPr>
        <w:t xml:space="preserve"> Definitivamente, por comissão designada pela autoridade competente, sem a participação do fiscal do contrato, mediante termo circunstanciado, assinado pelas partes e pelo usuário, após o decurso do prazo de</w:t>
      </w:r>
      <w:r>
        <w:rPr>
          <w:rFonts w:eastAsia="Arial" w:cs="Arial" w:ascii="Arial" w:hAnsi="Arial"/>
          <w:position w:val="0"/>
          <w:sz w:val="20"/>
          <w:sz w:val="20"/>
          <w:szCs w:val="20"/>
          <w:highlight w:val="white"/>
          <w:vertAlign w:val="baseline"/>
        </w:rPr>
        <w:t xml:space="preserve"> observação ou de vistoria que comprove a adequação do objeto aos termos contratuais.</w:t>
      </w:r>
    </w:p>
    <w:p>
      <w:pPr>
        <w:pStyle w:val="Normal1"/>
        <w:widowControl w:val="false"/>
        <w:tabs>
          <w:tab w:val="clear" w:pos="720"/>
          <w:tab w:val="left" w:pos="0" w:leader="none"/>
          <w:tab w:val="left" w:pos="993"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58"/>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position w:val="0"/>
                <w:sz w:val="20"/>
                <w:sz w:val="20"/>
                <w:szCs w:val="20"/>
                <w:vertAlign w:val="baseline"/>
              </w:rPr>
              <w:t xml:space="preserve">Nota explicativa </w:t>
            </w:r>
            <w:r>
              <w:rPr>
                <w:rFonts w:eastAsia="Arial" w:cs="Arial" w:ascii="Arial" w:hAnsi="Arial"/>
                <w:b/>
                <w:position w:val="0"/>
                <w:sz w:val="20"/>
                <w:sz w:val="20"/>
                <w:szCs w:val="20"/>
                <w:vertAlign w:val="baseline"/>
              </w:rPr>
              <w:fldChar w:fldCharType="begin"/>
            </w:r>
            <w:r>
              <w:rPr>
                <w:vertAlign w:val="baseline"/>
                <w:position w:val="0"/>
                <w:sz w:val="20"/>
                <w:sz w:val="20"/>
                <w:b/>
                <w:szCs w:val="20"/>
                <w:rFonts w:eastAsia="Arial" w:cs="Arial" w:ascii="Arial" w:hAnsi="Arial"/>
              </w:rPr>
              <w:instrText xml:space="preserve"> SEQ Desenho \* ARABIC </w:instrText>
            </w:r>
            <w:r>
              <w:rPr>
                <w:vertAlign w:val="baseline"/>
                <w:position w:val="0"/>
                <w:sz w:val="20"/>
                <w:sz w:val="20"/>
                <w:b/>
                <w:szCs w:val="20"/>
                <w:rFonts w:eastAsia="Arial" w:cs="Arial" w:ascii="Arial" w:hAnsi="Arial"/>
              </w:rPr>
              <w:fldChar w:fldCharType="separate"/>
            </w:r>
            <w:r>
              <w:rPr>
                <w:vertAlign w:val="baseline"/>
                <w:position w:val="0"/>
                <w:sz w:val="20"/>
                <w:sz w:val="20"/>
                <w:b/>
                <w:szCs w:val="20"/>
                <w:rFonts w:eastAsia="Arial" w:cs="Arial" w:ascii="Arial" w:hAnsi="Arial"/>
              </w:rPr>
              <w:t>41</w:t>
            </w:r>
            <w:r>
              <w:rPr>
                <w:vertAlign w:val="baseline"/>
                <w:position w:val="0"/>
                <w:sz w:val="20"/>
                <w:sz w:val="20"/>
                <w:b/>
                <w:szCs w:val="20"/>
                <w:rFonts w:eastAsia="Arial" w:cs="Arial" w:ascii="Arial" w:hAnsi="Arial"/>
              </w:rPr>
              <w:fldChar w:fldCharType="end"/>
            </w:r>
            <w:r>
              <w:rPr>
                <w:rFonts w:eastAsia="Arial" w:cs="Arial" w:ascii="Arial" w:hAnsi="Arial"/>
                <w:b/>
                <w:position w:val="0"/>
                <w:sz w:val="20"/>
                <w:sz w:val="20"/>
                <w:szCs w:val="20"/>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depender da complexidade da obra ou serviço, cabe ao gestor do órgão ou entidade contratante determinar se o recebimento provisório será realizado pelo fiscal da obra ou serviço de engenharia ou por comissão, conforme o contido no item 19.1.1.</w:t>
            </w:r>
          </w:p>
          <w:p>
            <w:pPr>
              <w:pStyle w:val="Normal1"/>
              <w:keepNext w:val="false"/>
              <w:keepLines w:val="false"/>
              <w:widowControl/>
              <w:shd w:val="clear" w:fill="FFFF00"/>
              <w:tabs>
                <w:tab w:val="left" w:pos="720" w:leader="none"/>
              </w:tabs>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comissão a ser nomeada para o recebimento definitivo não deverá ter a participação do fiscal e do gestor do contrato.</w:t>
            </w:r>
          </w:p>
          <w:p>
            <w:pPr>
              <w:pStyle w:val="Normal1"/>
              <w:keepNext w:val="false"/>
              <w:keepLines w:val="false"/>
              <w:widowControl/>
              <w:shd w:val="clear" w:fill="FFFF00"/>
              <w:tabs>
                <w:tab w:val="left" w:pos="720" w:leader="none"/>
              </w:tabs>
              <w:spacing w:lineRule="auto" w:line="240" w:before="0" w:after="57"/>
              <w:ind w:firstLine="9" w:left="-9" w:right="0"/>
              <w:jc w:val="both"/>
              <w:rPr>
                <w:rFonts w:ascii="Quattrocento Sans" w:hAnsi="Quattrocento Sans" w:eastAsia="Quattrocento Sans" w:cs="Quattrocento Sans"/>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prazo para o recebimento definitivo será determinado de acordo com a complexidade e ou vulto da obra ou serviço de engenharia.</w:t>
            </w:r>
          </w:p>
        </w:tc>
      </w:tr>
    </w:tbl>
    <w:p>
      <w:pPr>
        <w:pStyle w:val="Normal1"/>
        <w:widowControl w:val="false"/>
        <w:tabs>
          <w:tab w:val="clear" w:pos="720"/>
          <w:tab w:val="left" w:pos="0" w:leader="none"/>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19.2.</w:t>
      </w:r>
      <w:r>
        <w:rPr>
          <w:rFonts w:eastAsia="Arial" w:cs="Arial" w:ascii="Arial" w:hAnsi="Arial"/>
          <w:position w:val="0"/>
          <w:sz w:val="20"/>
          <w:sz w:val="20"/>
          <w:szCs w:val="20"/>
          <w:highlight w:val="white"/>
          <w:vertAlign w:val="baseline"/>
        </w:rPr>
        <w:t xml:space="preserve"> Os responsáveis pelo recebimento deverão lavrar termo de notificação anterior ao termo de recebimento provisório ou definitivo sempre que as obras ou serviços não apresentarem condições de aceitação. O termo de notificação deverá caracterizar os vícios, defeitos e incorreções constatados e determinar prazo para saneamento.</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19.2.1.</w:t>
      </w:r>
      <w:r>
        <w:rPr>
          <w:rFonts w:eastAsia="Arial" w:cs="Arial" w:ascii="Arial" w:hAnsi="Arial"/>
          <w:position w:val="0"/>
          <w:sz w:val="20"/>
          <w:sz w:val="20"/>
          <w:szCs w:val="20"/>
          <w:highlight w:val="white"/>
          <w:vertAlign w:val="baseline"/>
        </w:rPr>
        <w:t xml:space="preserve"> O CONTRATADO é obrigada a reparar, corrigir, remover, reconstruir ou substituir, às suas expensas, no total ou em parte, o objeto do contrato em que se verificarem vícios, defeitos ou incorreções resultantes da execução ou de materiais empregados.</w:t>
      </w:r>
    </w:p>
    <w:p>
      <w:pPr>
        <w:pStyle w:val="Normal1"/>
        <w:widowControl w:val="false"/>
        <w:tabs>
          <w:tab w:val="clear" w:pos="720"/>
          <w:tab w:val="left" w:pos="-10517" w:leader="none"/>
          <w:tab w:val="left" w:pos="-9524" w:leader="none"/>
        </w:tabs>
        <w:spacing w:lineRule="auto" w:line="240" w:before="57" w:after="57"/>
        <w:ind w:hanging="0" w:left="283" w:right="0"/>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19.2.2.</w:t>
      </w:r>
      <w:r>
        <w:rPr>
          <w:rFonts w:eastAsia="Arial" w:cs="Arial" w:ascii="Arial" w:hAnsi="Arial"/>
          <w:position w:val="0"/>
          <w:sz w:val="20"/>
          <w:sz w:val="20"/>
          <w:szCs w:val="20"/>
          <w:highlight w:val="white"/>
          <w:vertAlign w:val="baseline"/>
        </w:rPr>
        <w:t xml:space="preserve"> Decorrido o prazo fixado, os responsáveis procederão nova verificação objetivando o recebimento, que somente será lavrado quando as obras ou serviços apresentarem perfeitas condições.</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19.3.</w:t>
      </w:r>
      <w:r>
        <w:rPr>
          <w:rFonts w:eastAsia="Arial" w:cs="Arial" w:ascii="Arial" w:hAnsi="Arial"/>
          <w:position w:val="0"/>
          <w:sz w:val="20"/>
          <w:sz w:val="20"/>
          <w:szCs w:val="20"/>
          <w:highlight w:val="white"/>
          <w:vertAlign w:val="baseline"/>
        </w:rPr>
        <w:t xml:space="preserve"> Nas obras ou serviços será lavrado termo de recebimento provisório, e, decorridos </w:t>
      </w:r>
      <w:r>
        <w:rPr>
          <w:rFonts w:eastAsia="Arial" w:cs="Arial" w:ascii="Arial" w:hAnsi="Arial"/>
          <w:position w:val="0"/>
          <w:sz w:val="20"/>
          <w:sz w:val="20"/>
          <w:szCs w:val="20"/>
          <w:highlight w:val="yellow"/>
          <w:vertAlign w:val="baseline"/>
        </w:rPr>
        <w:t xml:space="preserve">XXX (XXXX) </w:t>
      </w:r>
      <w:r>
        <w:rPr>
          <w:rFonts w:eastAsia="Arial" w:cs="Arial" w:ascii="Arial" w:hAnsi="Arial"/>
          <w:position w:val="0"/>
          <w:sz w:val="20"/>
          <w:sz w:val="20"/>
          <w:szCs w:val="20"/>
          <w:highlight w:val="white"/>
          <w:vertAlign w:val="baseline"/>
        </w:rPr>
        <w:t>dias do recebimento provisório, será lavrado termo de recebimento definitivo.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19.4.</w:t>
      </w:r>
      <w:r>
        <w:rPr>
          <w:rFonts w:eastAsia="Arial" w:cs="Arial" w:ascii="Arial" w:hAnsi="Arial"/>
          <w:position w:val="0"/>
          <w:sz w:val="20"/>
          <w:sz w:val="20"/>
          <w:szCs w:val="20"/>
          <w:highlight w:val="white"/>
          <w:vertAlign w:val="baseline"/>
        </w:rPr>
        <w:t xml:space="preserve"> O recebimento provisório ou definitivo não exclui a responsabilidade civil do CONTRATADO pela solidez e segurança da obra, assim pelos materiais, como não a exime da responsabilidade ético-profissional pela perfeita execução do contrato.</w:t>
      </w:r>
    </w:p>
    <w:p>
      <w:pPr>
        <w:pStyle w:val="Normal1"/>
        <w:widowControl w:val="false"/>
        <w:tabs>
          <w:tab w:val="clear" w:pos="720"/>
          <w:tab w:val="left" w:pos="-7200" w:leader="none"/>
          <w:tab w:val="left" w:pos="-6207" w:leader="none"/>
        </w:tabs>
        <w:spacing w:lineRule="auto" w:line="240" w:before="57" w:after="57"/>
        <w:jc w:val="both"/>
        <w:rPr>
          <w:position w:val="0"/>
          <w:sz w:val="20"/>
          <w:sz w:val="20"/>
          <w:szCs w:val="20"/>
          <w:vertAlign w:val="baseline"/>
        </w:rPr>
      </w:pPr>
      <w:r>
        <w:rPr>
          <w:rFonts w:eastAsia="Arial" w:cs="Arial" w:ascii="Arial" w:hAnsi="Arial"/>
          <w:b/>
          <w:position w:val="0"/>
          <w:sz w:val="20"/>
          <w:sz w:val="20"/>
          <w:szCs w:val="20"/>
          <w:highlight w:val="white"/>
          <w:vertAlign w:val="baseline"/>
        </w:rPr>
        <w:t>19.5.</w:t>
      </w:r>
      <w:r>
        <w:rPr>
          <w:rFonts w:eastAsia="Arial" w:cs="Arial" w:ascii="Arial" w:hAnsi="Arial"/>
          <w:position w:val="0"/>
          <w:sz w:val="20"/>
          <w:sz w:val="20"/>
          <w:szCs w:val="20"/>
          <w:highlight w:val="white"/>
          <w:vertAlign w:val="baseline"/>
        </w:rPr>
        <w:t xml:space="preserve"> Para o recebimento definitivo, o CONTRATADO deverá entregar ao CONTRATANTE, conforme o caso, os seguintes documentos.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Relatório de Recomendações e Instruções de Utilização e Uso das instalações e equipamentos, acompanhado de eventuais catálogos e tabelas de fabricantes e montadores.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Termos de garantia das instalações e dos equipamentos;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Comprovante de Vistoria do Corpo de Bombeiros local;</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 Certidão negativa de débito – CND/INSS da matrícula da obra e Certidão negativa do FGTS em plena validade;</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Comprovantes das Vistorias das Companhias Concessionárias de telefone, de esgoto (inclusive águas pluviais), e de abastecimento de gás, de energia elétrica e de água;</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 Comprovantes de verificação de funcionamento emitido pelos responsáveis pelas instalações de equipamentos eletromecânicos;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g) Comprovantes do pagamento de taxas de ligação de esgoto e às redes das companhias concessionárias;</w:t>
      </w:r>
    </w:p>
    <w:p>
      <w:pPr>
        <w:pStyle w:val="Normal1"/>
        <w:keepNext w:val="true"/>
        <w:keepLines w:val="false"/>
        <w:pageBreakBefore w:val="false"/>
        <w:widowControl/>
        <w:shd w:val="clear" w:fill="FFFFFF"/>
        <w:spacing w:lineRule="auto" w:line="240" w:before="57" w:after="57"/>
        <w:ind w:hanging="0" w:left="283" w:right="0"/>
        <w:jc w:val="both"/>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h) Comprovante de Conclusão da Obra ou Habite-se emitido pelo órgão competente do Município. Em caso de não obtenção deverá ser apresentada justificativa emitida pelo órgão competente, atestado pelo gestor do contrato.</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b/>
          <w:position w:val="0"/>
          <w:sz w:val="20"/>
          <w:sz w:val="20"/>
          <w:szCs w:val="20"/>
          <w:highlight w:val="white"/>
          <w:vertAlign w:val="baseline"/>
        </w:rPr>
        <w:t>19.6.</w:t>
      </w:r>
      <w:r>
        <w:rPr>
          <w:rFonts w:eastAsia="Arial" w:cs="Arial" w:ascii="Arial" w:hAnsi="Arial"/>
          <w:position w:val="0"/>
          <w:sz w:val="20"/>
          <w:sz w:val="20"/>
          <w:szCs w:val="20"/>
          <w:highlight w:val="white"/>
          <w:vertAlign w:val="baseline"/>
        </w:rPr>
        <w:t xml:space="preserve"> Os termos de recebimento definidos neste capítulo constituem atos administrativos anuláveis nas hipóteses de erro ou ignorância, dolo, coação, simulação, fraude, incapacidade dos agentes públicos, impossibilidade jurídica ou ilicitude.</w:t>
      </w:r>
    </w:p>
    <w:p>
      <w:pPr>
        <w:pStyle w:val="Normal1"/>
        <w:widowControl w:val="false"/>
        <w:tabs>
          <w:tab w:val="clear" w:pos="720"/>
          <w:tab w:val="left" w:pos="-7200" w:leader="none"/>
          <w:tab w:val="left" w:pos="-6207"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9"/>
        <w:tblW w:w="9085" w:type="dxa"/>
        <w:jc w:val="left"/>
        <w:tblInd w:w="-55" w:type="dxa"/>
        <w:tblLayout w:type="fixed"/>
        <w:tblCellMar>
          <w:top w:w="0" w:type="dxa"/>
          <w:left w:w="108" w:type="dxa"/>
          <w:bottom w:w="0" w:type="dxa"/>
          <w:right w:w="108" w:type="dxa"/>
        </w:tblCellMar>
        <w:tblLook w:val="0000"/>
      </w:tblPr>
      <w:tblGrid>
        <w:gridCol w:w="9085"/>
      </w:tblGrid>
      <w:tr>
        <w:trPr>
          <w:trHeight w:val="1308" w:hRule="atLeast"/>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FFFF00"/>
              <w:spacing w:lineRule="auto" w:line="240" w:before="0" w:after="0"/>
              <w:ind w:hanging="0" w:left="0" w:right="0"/>
              <w:jc w:val="both"/>
              <w:rPr>
                <w:rFonts w:ascii="Arial" w:hAnsi="Arial" w:eastAsia="Arial" w:cs="Arial"/>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t>42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A"/>
              </w:rPr>
              <w:fldChar w:fldCharType="end"/>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 presente minuta foi elaborada sem a inclusão de cláusula compromissória.</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i/>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No caso de adoção de cláusula compromissória, conforme o estabelecido no art. 726 do Decreto n.º 10.086/2022, o órgão/entidade deverá utilizar o texto da cláusula compromissória aprovada pela PGE.</w:t>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i/>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Art. 726. Os contratos de concessão de serviços públicos, as concessões patrocinadas e administrativas poderão conter cláusula compromissória.</w:t>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i/>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1º Poderá, ainda, conter cláusula compromissória qualquer outro contrato ou ajuste cujo valor exceda a R$ 20.000.000,00 (vinte milhões de reais).</w:t>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i/>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2º A Procuradoria-Geral do Estado padronizará, mediante Resolução, o texto das cláusulas compromissórias.</w:t>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i/>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3º As cláusulas compromissórias adotarão a forma escalonada, devendo as partes submeter-se à mediação prévia à instauração da arbitragem.</w:t>
            </w:r>
          </w:p>
          <w:p>
            <w:pPr>
              <w:pStyle w:val="Normal1"/>
              <w:keepNext w:val="tru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No caso de inserção de cláusula compromissória (cláusula 18), a numeração dos itens do contrato deverá ser ajustada na sequência.</w:t>
            </w:r>
          </w:p>
        </w:tc>
      </w:tr>
    </w:tbl>
    <w:p>
      <w:pPr>
        <w:pStyle w:val="Normal1"/>
        <w:widowControl w:val="false"/>
        <w:tabs>
          <w:tab w:val="clear" w:pos="720"/>
          <w:tab w:val="left" w:pos="0" w:leader="none"/>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20. CLÁUSULA VIGÉSIMA – DOS RECURSOS ADMINISTRATIVOS.</w:t>
      </w:r>
    </w:p>
    <w:p>
      <w:pPr>
        <w:pStyle w:val="Normal1"/>
        <w:widowControl w:val="false"/>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20.1</w:t>
      </w:r>
      <w:r>
        <w:rPr>
          <w:rFonts w:eastAsia="Arial" w:cs="Arial" w:ascii="Arial" w:hAnsi="Arial"/>
          <w:position w:val="0"/>
          <w:sz w:val="20"/>
          <w:sz w:val="20"/>
          <w:szCs w:val="20"/>
          <w:highlight w:val="white"/>
          <w:vertAlign w:val="baseline"/>
        </w:rPr>
        <w:t xml:space="preserve"> </w:t>
      </w:r>
      <w:r>
        <w:rPr>
          <w:rFonts w:eastAsia="Arial" w:cs="Arial" w:ascii="Arial" w:hAnsi="Arial"/>
          <w:color w:val="000000"/>
          <w:position w:val="0"/>
          <w:sz w:val="20"/>
          <w:sz w:val="20"/>
          <w:szCs w:val="20"/>
          <w:highlight w:val="white"/>
          <w:vertAlign w:val="baseline"/>
        </w:rPr>
        <w:t>Dos atos do CONTRATANTE decorrentes da aplicação deste Contrato cabem recursos administrativos nas formas previstas em lei.</w:t>
      </w:r>
    </w:p>
    <w:p>
      <w:pPr>
        <w:pStyle w:val="Normal1"/>
        <w:widowControl w:val="false"/>
        <w:tabs>
          <w:tab w:val="clear" w:pos="720"/>
          <w:tab w:val="left" w:pos="0" w:leader="none"/>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0"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21. CLÁUSULA VIGÉSIMA SEGUNDA – DO FORO</w:t>
      </w:r>
    </w:p>
    <w:p>
      <w:pPr>
        <w:pStyle w:val="Normal1"/>
        <w:widowControl w:val="false"/>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t>21.1.</w:t>
      </w:r>
      <w:r>
        <w:rPr>
          <w:rFonts w:eastAsia="Arial" w:cs="Arial" w:ascii="Arial" w:hAnsi="Arial"/>
          <w:color w:val="000000"/>
          <w:position w:val="0"/>
          <w:sz w:val="20"/>
          <w:sz w:val="20"/>
          <w:szCs w:val="20"/>
          <w:highlight w:val="white"/>
          <w:vertAlign w:val="baseline"/>
        </w:rPr>
        <w:t xml:space="preserve"> Fica eleito o Foro Central da Comarca da Região Metropolitana de Curitiba, com renúncia expressa de qualquer outro, por mais privilegiado que seja, para dirimir quaisquer dúvidas ou controvérsias originadas das obrigações reciprocamente assumidas neste contrato.</w:t>
      </w:r>
    </w:p>
    <w:p>
      <w:pPr>
        <w:pStyle w:val="Normal1"/>
        <w:widowControl w:val="false"/>
        <w:tabs>
          <w:tab w:val="left" w:pos="720" w:leader="none"/>
          <w:tab w:val="left" w:pos="1713" w:leader="none"/>
        </w:tabs>
        <w:spacing w:lineRule="auto" w:line="240" w:before="57" w:after="0"/>
        <w:ind w:hanging="0" w:left="720"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E, por assim haverem justo e contratado, é o presente assinado pelos representantes legais das partes contratantes.</w:t>
      </w:r>
    </w:p>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Curitiba, __ de ________ de 20__.</w:t>
      </w:r>
    </w:p>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0"/>
        <w:tblW w:w="9072" w:type="dxa"/>
        <w:jc w:val="left"/>
        <w:tblInd w:w="0" w:type="dxa"/>
        <w:tblLayout w:type="fixed"/>
        <w:tblCellMar>
          <w:top w:w="0" w:type="dxa"/>
          <w:left w:w="108" w:type="dxa"/>
          <w:bottom w:w="0" w:type="dxa"/>
          <w:right w:w="108" w:type="dxa"/>
        </w:tblCellMar>
        <w:tblLook w:val="0000"/>
      </w:tblPr>
      <w:tblGrid>
        <w:gridCol w:w="9072"/>
      </w:tblGrid>
      <w:tr>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9072" w:type="dxa"/>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Autoridade Competente do órgão/entidade Licitante</w:t>
            </w:r>
          </w:p>
        </w:tc>
      </w:tr>
    </w:tbl>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1"/>
        <w:tblW w:w="9072" w:type="dxa"/>
        <w:jc w:val="left"/>
        <w:tblInd w:w="0" w:type="dxa"/>
        <w:tblLayout w:type="fixed"/>
        <w:tblCellMar>
          <w:top w:w="0" w:type="dxa"/>
          <w:left w:w="108" w:type="dxa"/>
          <w:bottom w:w="0" w:type="dxa"/>
          <w:right w:w="108" w:type="dxa"/>
        </w:tblCellMar>
        <w:tblLook w:val="0000"/>
      </w:tblPr>
      <w:tblGrid>
        <w:gridCol w:w="9072"/>
      </w:tblGrid>
      <w:tr>
        <w:trPr/>
        <w:tc>
          <w:tcPr>
            <w:tcW w:w="9072" w:type="dxa"/>
            <w:tcBorders/>
            <w:shd w:fill="auto" w:val="clear"/>
            <w:vAlign w:val="center"/>
          </w:tcPr>
          <w:p>
            <w:pPr>
              <w:pStyle w:val="Normal1"/>
              <w:widowControl w:val="false"/>
              <w:shd w:val="clear" w:fill="FFFFFF"/>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Nome: _________________________________________________________</w:t>
            </w:r>
          </w:p>
        </w:tc>
      </w:tr>
      <w:tr>
        <w:trPr/>
        <w:tc>
          <w:tcPr>
            <w:tcW w:w="9072" w:type="dxa"/>
            <w:tcBorders/>
            <w:shd w:fill="auto" w:val="clear"/>
            <w:vAlign w:val="center"/>
          </w:tcPr>
          <w:p>
            <w:pPr>
              <w:pStyle w:val="Normal1"/>
              <w:widowControl w:val="false"/>
              <w:shd w:val="clear" w:fill="FFFFFF"/>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CPF: _____________________________</w:t>
            </w:r>
          </w:p>
        </w:tc>
      </w:tr>
      <w:tr>
        <w:trPr/>
        <w:tc>
          <w:tcPr>
            <w:tcW w:w="9072" w:type="dxa"/>
            <w:tcBorders/>
            <w:shd w:fill="auto" w:val="clear"/>
            <w:vAlign w:val="center"/>
          </w:tcPr>
          <w:p>
            <w:pPr>
              <w:pStyle w:val="Normal1"/>
              <w:widowControl w:val="false"/>
              <w:shd w:val="clear" w:fill="FFFFFF"/>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Representante Legal do Contratado</w:t>
            </w:r>
          </w:p>
        </w:tc>
      </w:tr>
    </w:tbl>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9" w:leader="none"/>
        </w:tabs>
        <w:spacing w:lineRule="auto" w:line="240" w:before="57" w:after="0"/>
        <w:ind w:hanging="0" w:left="9" w:right="-55"/>
        <w:jc w:val="both"/>
        <w:rPr>
          <w:rFonts w:ascii="Arial" w:hAnsi="Arial" w:eastAsia="Arial" w:cs="Arial"/>
          <w:strike/>
          <w:color w:val="FF0000"/>
          <w:position w:val="0"/>
          <w:sz w:val="20"/>
          <w:sz w:val="20"/>
          <w:szCs w:val="20"/>
          <w:highlight w:val="white"/>
          <w:u w:val="single"/>
          <w:vertAlign w:val="baseline"/>
        </w:rPr>
      </w:pPr>
      <w:r>
        <w:rPr>
          <w:rFonts w:eastAsia="Arial" w:cs="Arial" w:ascii="Arial" w:hAnsi="Arial"/>
          <w:strike/>
          <w:color w:val="FF0000"/>
          <w:position w:val="0"/>
          <w:sz w:val="20"/>
          <w:sz w:val="20"/>
          <w:szCs w:val="20"/>
          <w:highlight w:val="white"/>
          <w:u w:val="single"/>
          <w:vertAlign w:val="baseline"/>
        </w:rPr>
      </w:r>
      <w:r>
        <w:br w:type="page"/>
      </w:r>
    </w:p>
    <w:p>
      <w:pPr>
        <w:pStyle w:val="Normal1"/>
        <w:spacing w:lineRule="auto" w:line="240" w:before="0" w:after="0"/>
        <w:ind w:right="-1"/>
        <w:jc w:val="center"/>
        <w:rPr>
          <w:strike/>
          <w:color w:val="FF0000"/>
          <w:position w:val="0"/>
          <w:sz w:val="24"/>
          <w:sz w:val="24"/>
          <w:highlight w:val="white"/>
          <w:u w:val="single"/>
          <w:vertAlign w:val="baseline"/>
        </w:rPr>
      </w:pPr>
      <w:r>
        <w:rPr>
          <w:strike/>
          <w:color w:val="FF0000"/>
          <w:position w:val="0"/>
          <w:sz w:val="24"/>
          <w:sz w:val="24"/>
          <w:highlight w:val="white"/>
          <w:u w:val="single"/>
          <w:vertAlign w:val="baseline"/>
        </w:rPr>
      </w:r>
    </w:p>
    <w:tbl>
      <w:tblPr>
        <w:tblStyle w:val="Table62"/>
        <w:tblW w:w="9112" w:type="dxa"/>
        <w:jc w:val="left"/>
        <w:tblInd w:w="-3" w:type="dxa"/>
        <w:tblLayout w:type="fixed"/>
        <w:tblCellMar>
          <w:top w:w="0" w:type="dxa"/>
          <w:left w:w="108" w:type="dxa"/>
          <w:bottom w:w="0" w:type="dxa"/>
          <w:right w:w="108" w:type="dxa"/>
        </w:tblCellMar>
        <w:tblLook w:val="0000"/>
      </w:tblPr>
      <w:tblGrid>
        <w:gridCol w:w="2278"/>
        <w:gridCol w:w="6833"/>
      </w:tblGrid>
      <w:tr>
        <w:trPr>
          <w:cantSplit w:val="true"/>
        </w:trPr>
        <w:tc>
          <w:tcPr>
            <w:tcW w:w="9111" w:type="dxa"/>
            <w:gridSpan w:val="2"/>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ANEXO II</w:t>
            </w:r>
          </w:p>
        </w:tc>
      </w:tr>
      <w:tr>
        <w:trPr>
          <w:cantSplit w:val="true"/>
        </w:trPr>
        <w:tc>
          <w:tcPr>
            <w:tcW w:w="9111" w:type="dxa"/>
            <w:gridSpan w:val="2"/>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MINUTA DA ORDEM DE SERVIÇO</w:t>
            </w:r>
          </w:p>
        </w:tc>
      </w:tr>
      <w:tr>
        <w:trPr>
          <w:cantSplit w:val="true"/>
        </w:trPr>
        <w:tc>
          <w:tcPr>
            <w:tcW w:w="9111" w:type="dxa"/>
            <w:gridSpan w:val="2"/>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2278"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PROTOCOLO:</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________________</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EDITAL:</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Pregão Eletrônico n.º ____/20__ GMS</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OBJETO:</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____________________________________________________________</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PRAZO EXECUÇÃO:</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______ (________________) dias</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CONTRATO:</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______ /20__</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EMPRESA:</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________________________, localizada à Rua ___________________, no Município de _________, Estado do __________, CEP ___________, Fone (___) __________, E-mail ________________________________, CNPJ n.º ___________________.</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VALOR CONTRATUAL:</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R$ ______________ (________________________________________), sendo __,__% (_____________ por cento) referente a materiais e ___% (__________ por cento) referente a mão de obra.</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RECURSO:</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Empenho n.º __________, Dotação Orçamentária __________________, Projeto Atividade ______________, Natureza da Despesa ___________, Fonte ______ –  __________, datado de ___/________/20__.</w:t>
            </w:r>
          </w:p>
        </w:tc>
      </w:tr>
      <w:tr>
        <w:trPr/>
        <w:tc>
          <w:tcPr>
            <w:tcW w:w="2278" w:type="dxa"/>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57"/>
              <w:jc w:val="right"/>
              <w:rPr>
                <w:position w:val="0"/>
                <w:sz w:val="24"/>
                <w:sz w:val="24"/>
                <w:vertAlign w:val="baseline"/>
              </w:rPr>
            </w:pPr>
            <w:r>
              <w:rPr>
                <w:rFonts w:eastAsia="Arial" w:cs="Arial" w:ascii="Arial" w:hAnsi="Arial"/>
                <w:position w:val="0"/>
                <w:sz w:val="20"/>
                <w:sz w:val="20"/>
                <w:szCs w:val="20"/>
                <w:highlight w:val="white"/>
                <w:vertAlign w:val="baseline"/>
              </w:rPr>
              <w:t>FISCAL:</w:t>
            </w:r>
          </w:p>
        </w:tc>
        <w:tc>
          <w:tcPr>
            <w:tcW w:w="683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57"/>
              <w:jc w:val="both"/>
              <w:rPr>
                <w:position w:val="0"/>
                <w:sz w:val="24"/>
                <w:sz w:val="24"/>
                <w:vertAlign w:val="baseline"/>
              </w:rPr>
            </w:pPr>
            <w:r>
              <w:rPr>
                <w:rFonts w:eastAsia="Arial" w:cs="Arial" w:ascii="Arial" w:hAnsi="Arial"/>
                <w:position w:val="0"/>
                <w:sz w:val="20"/>
                <w:sz w:val="20"/>
                <w:szCs w:val="20"/>
                <w:highlight w:val="white"/>
                <w:vertAlign w:val="baseline"/>
              </w:rPr>
              <w:t>Eng./Arqt. ________________ CREA/CAU PR N.º _______________.</w:t>
            </w:r>
          </w:p>
        </w:tc>
      </w:tr>
      <w:tr>
        <w:trPr>
          <w:cantSplit w:val="true"/>
        </w:trPr>
        <w:tc>
          <w:tcPr>
            <w:tcW w:w="9111" w:type="dxa"/>
            <w:gridSpan w:val="2"/>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1" w:type="dxa"/>
            <w:gridSpan w:val="2"/>
            <w:tcBorders/>
            <w:shd w:fill="auto" w:val="clear"/>
            <w:vAlign w:val="center"/>
          </w:tcPr>
          <w:p>
            <w:pPr>
              <w:pStyle w:val="Normal1"/>
              <w:tabs>
                <w:tab w:val="clear" w:pos="720"/>
                <w:tab w:val="left" w:pos="0" w:leader="none"/>
              </w:tabs>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Pela presente Ordem de Serviço, o prazo de execução do ajuste, de acordo com a Cláusula Terceira do Contrato, deverá ser contado a partir de __ de _______ de 20__, ficando a empresa autorizada ao início dos trabalhos.</w:t>
            </w:r>
          </w:p>
        </w:tc>
      </w:tr>
      <w:tr>
        <w:trPr>
          <w:cantSplit w:val="true"/>
        </w:trPr>
        <w:tc>
          <w:tcPr>
            <w:tcW w:w="9111" w:type="dxa"/>
            <w:gridSpan w:val="2"/>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Autoridade Competente do órgão/entidade Licitante</w:t>
            </w:r>
          </w:p>
        </w:tc>
      </w:tr>
      <w:tr>
        <w:trPr>
          <w:cantSplit w:val="true"/>
        </w:trPr>
        <w:tc>
          <w:tcPr>
            <w:tcW w:w="9111" w:type="dxa"/>
            <w:gridSpan w:val="2"/>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ACEITE DA ORDEM DE SERVIÇO</w:t>
            </w:r>
          </w:p>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Curitiba, em  ddd do mmmm de 202X</w:t>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Nome: _________________________________________________________</w:t>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CPF: _____________________________</w:t>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Representante Legal da Contratada</w:t>
            </w:r>
          </w:p>
        </w:tc>
      </w:tr>
      <w:tr>
        <w:trPr>
          <w:cantSplit w:val="true"/>
        </w:trPr>
        <w:tc>
          <w:tcPr>
            <w:tcW w:w="9111" w:type="dxa"/>
            <w:gridSpan w:val="2"/>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Eng./Arqt. ____________________________________ – CREA/CAU N.º _________________</w:t>
            </w:r>
          </w:p>
        </w:tc>
      </w:tr>
      <w:tr>
        <w:trPr>
          <w:cantSplit w:val="true"/>
        </w:trPr>
        <w:tc>
          <w:tcPr>
            <w:tcW w:w="911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Responsável Técnico da Contratada</w:t>
            </w:r>
          </w:p>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3"/>
        <w:tblW w:w="9109" w:type="dxa"/>
        <w:jc w:val="left"/>
        <w:tblInd w:w="-3" w:type="dxa"/>
        <w:tblLayout w:type="fixed"/>
        <w:tblCellMar>
          <w:top w:w="0" w:type="dxa"/>
          <w:left w:w="108" w:type="dxa"/>
          <w:bottom w:w="0" w:type="dxa"/>
          <w:right w:w="108" w:type="dxa"/>
        </w:tblCellMar>
        <w:tblLook w:val="0000"/>
      </w:tblPr>
      <w:tblGrid>
        <w:gridCol w:w="417"/>
        <w:gridCol w:w="4135"/>
        <w:gridCol w:w="4556"/>
      </w:tblGrid>
      <w:tr>
        <w:trPr>
          <w:cantSplit w:val="true"/>
        </w:trPr>
        <w:tc>
          <w:tcPr>
            <w:tcW w:w="9108" w:type="dxa"/>
            <w:gridSpan w:val="3"/>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III</w:t>
            </w:r>
          </w:p>
        </w:tc>
      </w:tr>
      <w:tr>
        <w:trPr>
          <w:cantSplit w:val="true"/>
        </w:trPr>
        <w:tc>
          <w:tcPr>
            <w:tcW w:w="9108" w:type="dxa"/>
            <w:gridSpan w:val="3"/>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CARTA PROPOSTA DE PREÇOS</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____/20__ GMS</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A Empresa _________________________________________, CNPJ/MF ____________________, com sede na cidade de __________, estado do ________, sito _____________________________, n.º ____, CEP ________–____, Telefone (___) ____________, E-mail _______________________, propõe à(ao) (Nome do órgão/entidade licitante) a execução do objeto da Licitação suprarreferenciada, tudo em conformidade com o edital, o contrato e os anexos da licitação em referência.</w:t>
            </w:r>
          </w:p>
        </w:tc>
      </w:tr>
      <w:tr>
        <w:trPr>
          <w:cantSplit w:val="true"/>
        </w:trPr>
        <w:tc>
          <w:tcPr>
            <w:tcW w:w="9108" w:type="dxa"/>
            <w:gridSpan w:val="3"/>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1)</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O preço proposto é de R$ ______________ (________________________________________), sendo ____% (_________ por cento) referente aos materiais e ____% (___________ por cento) referente à mão de obra.</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2)</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 xml:space="preserve">O prazo de validade da Proposta será de, no mínimo, </w:t>
            </w:r>
            <w:r>
              <w:rPr>
                <w:rFonts w:eastAsia="Arial" w:cs="Arial" w:ascii="Arial" w:hAnsi="Arial"/>
                <w:position w:val="0"/>
                <w:sz w:val="20"/>
                <w:sz w:val="20"/>
                <w:szCs w:val="20"/>
                <w:highlight w:val="yellow"/>
                <w:vertAlign w:val="baseline"/>
              </w:rPr>
              <w:t>XXXX (XXXXXXXXX)</w:t>
            </w:r>
            <w:r>
              <w:rPr>
                <w:rFonts w:eastAsia="Arial" w:cs="Arial" w:ascii="Arial" w:hAnsi="Arial"/>
                <w:position w:val="0"/>
                <w:sz w:val="20"/>
                <w:sz w:val="20"/>
                <w:szCs w:val="20"/>
                <w:highlight w:val="white"/>
                <w:vertAlign w:val="baseline"/>
              </w:rPr>
              <w:t xml:space="preserve"> dias corridos, contados a partir da data de abertura da Licitação.</w:t>
            </w:r>
          </w:p>
        </w:tc>
      </w:tr>
      <w:tr>
        <w:trPr>
          <w:cantSplit w:val="true"/>
        </w:trPr>
        <w:tc>
          <w:tcPr>
            <w:tcW w:w="9108" w:type="dxa"/>
            <w:gridSpan w:val="3"/>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Se vencedor da licitação, assinará o contrato administrativo, na qualidade de representante legal, o(a) Sr.(a) ____________________________________, portador(a) do CPF __________________</w:t>
            </w:r>
          </w:p>
        </w:tc>
      </w:tr>
      <w:tr>
        <w:trPr>
          <w:cantSplit w:val="true"/>
        </w:trPr>
        <w:tc>
          <w:tcPr>
            <w:tcW w:w="9108" w:type="dxa"/>
            <w:gridSpan w:val="3"/>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e será responsável técnico pelos serviços o(a) Sr.(a) _____________________________________, Título ____________________________, CREA/n.º e/ou CAU/n.º __________________.</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___ de _______________ 20__.</w:t>
            </w:r>
          </w:p>
        </w:tc>
      </w:tr>
      <w:tr>
        <w:trPr>
          <w:cantSplit w:val="true"/>
        </w:trPr>
        <w:tc>
          <w:tcPr>
            <w:tcW w:w="9108" w:type="dxa"/>
            <w:gridSpan w:val="3"/>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52"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Representante Legal da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b w:val="false"/>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Assinatura:</w:t>
            </w:r>
          </w:p>
        </w:tc>
        <w:tc>
          <w:tcPr>
            <w:tcW w:w="455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Obs. Caso haja divergência entre o valor numérico e o valor por extenso da proposta, prevalecerá o valor por extenso.</w:t>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4"/>
        <w:tblW w:w="9109" w:type="dxa"/>
        <w:jc w:val="left"/>
        <w:tblInd w:w="-3" w:type="dxa"/>
        <w:tblLayout w:type="fixed"/>
        <w:tblCellMar>
          <w:top w:w="0" w:type="dxa"/>
          <w:left w:w="108" w:type="dxa"/>
          <w:bottom w:w="0" w:type="dxa"/>
          <w:right w:w="108" w:type="dxa"/>
        </w:tblCellMar>
        <w:tblLook w:val="0000"/>
      </w:tblPr>
      <w:tblGrid>
        <w:gridCol w:w="4555"/>
        <w:gridCol w:w="4553"/>
      </w:tblGrid>
      <w:tr>
        <w:trPr>
          <w:cantSplit w:val="true"/>
        </w:trPr>
        <w:tc>
          <w:tcPr>
            <w:tcW w:w="9108" w:type="dxa"/>
            <w:gridSpan w:val="2"/>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IV</w:t>
            </w:r>
          </w:p>
        </w:tc>
      </w:tr>
      <w:tr>
        <w:trPr>
          <w:cantSplit w:val="true"/>
        </w:trPr>
        <w:tc>
          <w:tcPr>
            <w:tcW w:w="9108" w:type="dxa"/>
            <w:gridSpan w:val="2"/>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DECLARAÇÃO DE MICROEMPRESA OU EMPRESA DE PEQUENO PORTE</w:t>
            </w:r>
          </w:p>
        </w:tc>
      </w:tr>
      <w:tr>
        <w:trPr>
          <w:cantSplit w:val="true"/>
        </w:trPr>
        <w:tc>
          <w:tcPr>
            <w:tcW w:w="9108" w:type="dxa"/>
            <w:gridSpan w:val="2"/>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2"/>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108" w:type="dxa"/>
            <w:gridSpan w:val="2"/>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108" w:type="dxa"/>
            <w:gridSpan w:val="2"/>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____/20__ GMS</w:t>
            </w:r>
          </w:p>
        </w:tc>
      </w:tr>
      <w:tr>
        <w:trPr>
          <w:cantSplit w:val="true"/>
        </w:trPr>
        <w:tc>
          <w:tcPr>
            <w:tcW w:w="9108" w:type="dxa"/>
            <w:gridSpan w:val="2"/>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108" w:type="dxa"/>
            <w:gridSpan w:val="2"/>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2"/>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trPr>
          <w:cantSplit w:val="true"/>
        </w:trPr>
        <w:tc>
          <w:tcPr>
            <w:tcW w:w="9108" w:type="dxa"/>
            <w:gridSpan w:val="2"/>
            <w:tcBorders/>
            <w:shd w:fill="auto" w:val="clear"/>
          </w:tcPr>
          <w:p>
            <w:pPr>
              <w:pStyle w:val="Normal1"/>
              <w:widowControl w:val="false"/>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color w:val="000000"/>
                <w:position w:val="0"/>
                <w:sz w:val="20"/>
                <w:sz w:val="20"/>
                <w:szCs w:val="20"/>
                <w:vertAlign w:val="baseline"/>
              </w:rPr>
              <w:t>Declara ainda que, não extrapolou a receita bruta máxima admitida para fins de enquadramento como microempresa ou empresa de pequeno porte no ano-calendário de realização da licitação, nos termos do § 2º do Art. 4º da Lei Federal n.º14.133/2022.</w:t>
            </w:r>
          </w:p>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2"/>
            <w:tcBorders/>
            <w:shd w:fill="auto" w:val="clea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___ de _______________ 20__.</w:t>
            </w:r>
          </w:p>
        </w:tc>
      </w:tr>
      <w:tr>
        <w:trPr>
          <w:cantSplit w:val="true"/>
        </w:trPr>
        <w:tc>
          <w:tcPr>
            <w:tcW w:w="9108" w:type="dxa"/>
            <w:gridSpan w:val="2"/>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55"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Representante Legal da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b w:val="false"/>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Assinatura:</w:t>
            </w:r>
          </w:p>
        </w:tc>
        <w:tc>
          <w:tcPr>
            <w:tcW w:w="4553"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5"/>
        <w:tblW w:w="9075" w:type="dxa"/>
        <w:jc w:val="left"/>
        <w:tblInd w:w="-3" w:type="dxa"/>
        <w:tblLayout w:type="fixed"/>
        <w:tblCellMar>
          <w:top w:w="0" w:type="dxa"/>
          <w:left w:w="108" w:type="dxa"/>
          <w:bottom w:w="0" w:type="dxa"/>
          <w:right w:w="108" w:type="dxa"/>
        </w:tblCellMar>
        <w:tblLook w:val="0000"/>
      </w:tblPr>
      <w:tblGrid>
        <w:gridCol w:w="235"/>
        <w:gridCol w:w="137"/>
        <w:gridCol w:w="4117"/>
        <w:gridCol w:w="1132"/>
        <w:gridCol w:w="3454"/>
      </w:tblGrid>
      <w:tr>
        <w:trPr>
          <w:cantSplit w:val="true"/>
        </w:trPr>
        <w:tc>
          <w:tcPr>
            <w:tcW w:w="9075" w:type="dxa"/>
            <w:gridSpan w:val="5"/>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V</w:t>
            </w:r>
          </w:p>
        </w:tc>
      </w:tr>
      <w:tr>
        <w:trPr>
          <w:cantSplit w:val="true"/>
        </w:trPr>
        <w:tc>
          <w:tcPr>
            <w:tcW w:w="9075" w:type="dxa"/>
            <w:gridSpan w:val="5"/>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DECLARAÇÃO DE RESPONSABILIDADE TÉCNICA</w:t>
            </w:r>
          </w:p>
        </w:tc>
      </w:tr>
      <w:tr>
        <w:trPr>
          <w:cantSplit w:val="true"/>
        </w:trPr>
        <w:tc>
          <w:tcPr>
            <w:tcW w:w="9075" w:type="dxa"/>
            <w:gridSpan w:val="5"/>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75" w:type="dxa"/>
            <w:gridSpan w:val="5"/>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075" w:type="dxa"/>
            <w:gridSpan w:val="5"/>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075" w:type="dxa"/>
            <w:gridSpan w:val="5"/>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____/20__ GMS</w:t>
            </w:r>
          </w:p>
        </w:tc>
      </w:tr>
      <w:tr>
        <w:trPr>
          <w:cantSplit w:val="true"/>
        </w:trPr>
        <w:tc>
          <w:tcPr>
            <w:tcW w:w="9075" w:type="dxa"/>
            <w:gridSpan w:val="5"/>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075" w:type="dxa"/>
            <w:gridSpan w:val="5"/>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75" w:type="dxa"/>
            <w:gridSpan w:val="5"/>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O abaixo-assinado, na qualidade de responsável legal pela empresa _______________________ vem, pela presente, indicar a V.Sas. o(s) profissional(is) Responsável(is) Técnico(s), de acordo com a Lei Federal n.º 5.194/1966 e com as Resoluções n.º 218/73 e n.º 317/83 do CONFEA – Conselho Federal de Engenharia e Agronomia, com a Lei Federal n.º 12.378/2010 e com o § 9.º do art. 67 da Lei Federal n.º 14.133/2021, caso venhamos a vencer a referida licitação.</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75" w:type="dxa"/>
            <w:gridSpan w:val="5"/>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Profissional(is) Responsável(is) Técnico(s) pelos serviços contratados: (*)</w:t>
            </w:r>
          </w:p>
        </w:tc>
      </w:tr>
      <w:tr>
        <w:trPr>
          <w:cantSplit w:val="true"/>
        </w:trPr>
        <w:tc>
          <w:tcPr>
            <w:tcW w:w="235"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1</w:t>
            </w:r>
          </w:p>
        </w:tc>
        <w:tc>
          <w:tcPr>
            <w:tcW w:w="8840"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Nome: ____________________________</w:t>
            </w:r>
          </w:p>
        </w:tc>
      </w:tr>
      <w:tr>
        <w:trPr>
          <w:cantSplit w:val="true"/>
        </w:trPr>
        <w:tc>
          <w:tcPr>
            <w:tcW w:w="235"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5386"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Título:</w:t>
            </w:r>
          </w:p>
        </w:tc>
        <w:tc>
          <w:tcPr>
            <w:tcW w:w="345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CREA e/ou CAU n.º</w:t>
            </w:r>
          </w:p>
        </w:tc>
      </w:tr>
      <w:tr>
        <w:trPr>
          <w:cantSplit w:val="true"/>
        </w:trPr>
        <w:tc>
          <w:tcPr>
            <w:tcW w:w="235"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8840"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Atribuição: Responsável pelo(a) _______________________________________________ (**)</w:t>
            </w:r>
          </w:p>
        </w:tc>
      </w:tr>
      <w:tr>
        <w:trPr>
          <w:cantSplit w:val="true"/>
        </w:trPr>
        <w:tc>
          <w:tcPr>
            <w:tcW w:w="235"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8840"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Assinatura:</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35"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2</w:t>
            </w:r>
          </w:p>
        </w:tc>
        <w:tc>
          <w:tcPr>
            <w:tcW w:w="8840"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Nome:</w:t>
            </w:r>
          </w:p>
        </w:tc>
      </w:tr>
      <w:tr>
        <w:trPr>
          <w:cantSplit w:val="true"/>
        </w:trPr>
        <w:tc>
          <w:tcPr>
            <w:tcW w:w="235"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5386"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Título:</w:t>
            </w:r>
          </w:p>
        </w:tc>
        <w:tc>
          <w:tcPr>
            <w:tcW w:w="345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CREA e/ou CAU n.º</w:t>
            </w:r>
          </w:p>
        </w:tc>
      </w:tr>
      <w:tr>
        <w:trPr>
          <w:cantSplit w:val="true"/>
        </w:trPr>
        <w:tc>
          <w:tcPr>
            <w:tcW w:w="235"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8840"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Atribuição: Responsável pelo(a) _______________________________________________ (**)</w:t>
            </w:r>
          </w:p>
        </w:tc>
      </w:tr>
      <w:tr>
        <w:trPr>
          <w:cantSplit w:val="true"/>
        </w:trPr>
        <w:tc>
          <w:tcPr>
            <w:tcW w:w="235"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8840"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Assinatura:</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35" w:type="dxa"/>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840" w:type="dxa"/>
            <w:gridSpan w:val="4"/>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Obs.: Repetir com os dados solicitados acima até completar a equipe técnica proposta</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75" w:type="dxa"/>
            <w:gridSpan w:val="5"/>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75" w:type="dxa"/>
            <w:gridSpan w:val="5"/>
            <w:tcBorders/>
            <w:shd w:fill="auto" w:val="clea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___ de _______________ 20__.</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489"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Representante Legal da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b w:val="false"/>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Assinatura:</w:t>
            </w:r>
          </w:p>
        </w:tc>
        <w:tc>
          <w:tcPr>
            <w:tcW w:w="4586" w:type="dxa"/>
            <w:gridSpan w:val="2"/>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Responsável(is) Técnico(s) (quando couber):</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CREA e/ou CAU N.º</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Assinatura:</w:t>
            </w:r>
          </w:p>
        </w:tc>
      </w:tr>
      <w:tr>
        <w:trPr>
          <w:cantSplit w:val="true"/>
        </w:trPr>
        <w:tc>
          <w:tcPr>
            <w:tcW w:w="9075" w:type="dxa"/>
            <w:gridSpan w:val="5"/>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372" w:type="dxa"/>
            <w:gridSpan w:val="2"/>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8703"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Indicar todos os responsáveis técnicos (engenheiros, arquitetos, etc.) que compõem a equipe técnica proposta.</w:t>
            </w:r>
          </w:p>
        </w:tc>
      </w:tr>
      <w:tr>
        <w:trPr>
          <w:cantSplit w:val="true"/>
        </w:trPr>
        <w:tc>
          <w:tcPr>
            <w:tcW w:w="372" w:type="dxa"/>
            <w:gridSpan w:val="2"/>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8703"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Indicar qual é o tipo do serviço sob a responsabilidade do profissional indicado e conforme a equipe técnica proposta.</w:t>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6"/>
        <w:tblW w:w="9109" w:type="dxa"/>
        <w:jc w:val="left"/>
        <w:tblInd w:w="-3" w:type="dxa"/>
        <w:tblLayout w:type="fixed"/>
        <w:tblCellMar>
          <w:top w:w="0" w:type="dxa"/>
          <w:left w:w="108" w:type="dxa"/>
          <w:bottom w:w="0" w:type="dxa"/>
          <w:right w:w="108" w:type="dxa"/>
        </w:tblCellMar>
        <w:tblLook w:val="0000"/>
      </w:tblPr>
      <w:tblGrid>
        <w:gridCol w:w="417"/>
        <w:gridCol w:w="4135"/>
        <w:gridCol w:w="4556"/>
      </w:tblGrid>
      <w:tr>
        <w:trPr>
          <w:cantSplit w:val="true"/>
        </w:trPr>
        <w:tc>
          <w:tcPr>
            <w:tcW w:w="9108" w:type="dxa"/>
            <w:gridSpan w:val="3"/>
            <w:tcBorders/>
            <w:shd w:fill="auto" w:val="clear"/>
            <w:vAlign w:val="center"/>
          </w:tcPr>
          <w:p>
            <w:pPr>
              <w:pStyle w:val="Normal1"/>
              <w:pageBreakBefore/>
              <w:widowControl w:val="false"/>
              <w:spacing w:lineRule="auto" w:line="240" w:before="0"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ANEXO VI</w:t>
            </w:r>
          </w:p>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DECLARAÇÃO DE CUMPRIMENTO DE EXIGÊNCIAS LEGAIS E CONSTITUCIONAIS</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____/20__ GMS</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 Signatário da presente, _____________________________ Carteira de Identidade n.º_________, representante legal, em nome da Empresa _______________________, CNPJ/MF _____________, declara:</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1)</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Concordar, na íntegra, com os termos da Licitação e com todos documentos dela componentes;</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2)</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acatará integralmente qualquer decisão que venha a ser tomada pelo Órgão Licitante quanto à sua habilitação;</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3)</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não existe, no presente momento, pedido de falência em nome desta empresa e que a mesma se submete à automática inabilitação, caso tal venha a ocorrer durante o processo de Licitação;</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4)</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Sob as penalidades cabíveis, a não superveniência de fato impeditivo da habilitação;</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5)</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a empresa é idônea e atende a todos os pré-requisitos da Licitação e demais exigências contidas na Lei Federal n.º 14.133/2021;</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6)</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não se enquadra nas hipóteses previstas no § 1.º do art. 9.º e no art. 14 ambos da Lei Federal n.º 14.133/2021, atendendo às condições de participação da Licitação e legislação vigente;</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7)</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assume total responsabilidade pelas informações prestadas e, em qualquer tempo, exime o ora contratante de quaisquer ônus civil e penal que lhe possa acarretar;</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8)</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fará prova de todas as informações ora declaradas, quando necessário ou solicitado e que se compromete a apresentar a documentação original, quando a mesma for solicitada pelo Pregoeiro ou sua Equipe de Apoio, no prazo que o mesmo estipular;</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9)</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color w:val="000000"/>
                <w:position w:val="0"/>
                <w:sz w:val="20"/>
                <w:sz w:val="20"/>
                <w:szCs w:val="20"/>
                <w:vertAlign w:val="baseline"/>
              </w:rPr>
              <w:t>10)</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color w:val="000000"/>
                <w:position w:val="0"/>
                <w:sz w:val="20"/>
                <w:sz w:val="20"/>
                <w:szCs w:val="20"/>
                <w:vertAlign w:val="baseline"/>
              </w:rPr>
              <w:t>Que para fins do disposto no inciso IV do art. 63 da Lei Federal n.º 14.133/2021, cumpre as exigências de reserva de cargos para pessoa com deficiência e para reabilitado da Previdência Social, previstas em lei e em outras normas específicas.</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color w:val="000000"/>
                <w:position w:val="0"/>
                <w:sz w:val="20"/>
                <w:sz w:val="20"/>
                <w:szCs w:val="20"/>
                <w:vertAlign w:val="baseline"/>
              </w:rPr>
              <w:t>11)</w:t>
            </w:r>
          </w:p>
        </w:tc>
        <w:tc>
          <w:tcPr>
            <w:tcW w:w="8691" w:type="dxa"/>
            <w:gridSpan w:val="2"/>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vertAlign w:val="baseline"/>
              </w:rPr>
              <w:t xml:space="preserve">Que para fins do disposto no inciso VI do art. 68 da Lei Federal n.º 14.133/2021 e inciso XXXIII, artigo 7º da Constituição Federal, não emprega menor de dezoito anos em trabalho noturno, perigoso ou insalubre e não emprega menor de dezesseis anos. (Caso empregue menor, a partir de quatorze anos, na condição de aprendiz, </w:t>
            </w:r>
            <w:r>
              <w:rPr>
                <w:rFonts w:eastAsia="Arial" w:cs="Arial" w:ascii="Arial" w:hAnsi="Arial"/>
                <w:position w:val="0"/>
                <w:sz w:val="20"/>
                <w:sz w:val="20"/>
                <w:szCs w:val="20"/>
                <w:u w:val="single"/>
                <w:vertAlign w:val="baseline"/>
              </w:rPr>
              <w:t>deverá fazer a ressalva</w:t>
            </w:r>
            <w:r>
              <w:rPr>
                <w:rFonts w:eastAsia="Arial" w:cs="Arial" w:ascii="Arial" w:hAnsi="Arial"/>
                <w:position w:val="0"/>
                <w:sz w:val="20"/>
                <w:sz w:val="20"/>
                <w:szCs w:val="20"/>
                <w:vertAlign w:val="baseline"/>
              </w:rPr>
              <w:t>).</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color w:val="000000"/>
                <w:position w:val="0"/>
                <w:sz w:val="20"/>
                <w:sz w:val="20"/>
                <w:szCs w:val="20"/>
                <w:vertAlign w:val="baseline"/>
              </w:rPr>
              <w:t>12)</w:t>
            </w:r>
          </w:p>
        </w:tc>
        <w:tc>
          <w:tcPr>
            <w:tcW w:w="8691" w:type="dxa"/>
            <w:gridSpan w:val="2"/>
            <w:tcBorders/>
            <w:shd w:fill="auto" w:val="clear"/>
          </w:tcPr>
          <w:p>
            <w:pPr>
              <w:pStyle w:val="Normal1"/>
              <w:widowControl w:val="false"/>
              <w:spacing w:lineRule="auto" w:line="240" w:before="57" w:after="57"/>
              <w:jc w:val="both"/>
              <w:rPr>
                <w:position w:val="0"/>
                <w:sz w:val="24"/>
                <w:sz w:val="24"/>
                <w:vertAlign w:val="baseline"/>
              </w:rPr>
            </w:pPr>
            <w:r>
              <w:rPr>
                <w:rFonts w:eastAsia="Arial" w:cs="Arial" w:ascii="Arial" w:hAnsi="Arial"/>
                <w:position w:val="0"/>
                <w:sz w:val="20"/>
                <w:sz w:val="20"/>
                <w:szCs w:val="20"/>
                <w:vertAlign w:val="baseline"/>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trPr>
          <w:trHeight w:val="245" w:hRule="atLeast"/>
          <w:cantSplit w:val="true"/>
        </w:trPr>
        <w:tc>
          <w:tcPr>
            <w:tcW w:w="417" w:type="dxa"/>
            <w:tcBorders/>
            <w:shd w:fill="auto" w:val="clea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color w:val="000000"/>
                <w:position w:val="0"/>
                <w:sz w:val="20"/>
                <w:sz w:val="20"/>
                <w:szCs w:val="20"/>
                <w:vertAlign w:val="baseline"/>
              </w:rPr>
              <w:t>13)</w:t>
            </w:r>
          </w:p>
        </w:tc>
        <w:tc>
          <w:tcPr>
            <w:tcW w:w="8691" w:type="dxa"/>
            <w:gridSpan w:val="2"/>
            <w:tcBorders/>
            <w:shd w:fill="auto" w:val="clear"/>
          </w:tcPr>
          <w:p>
            <w:pPr>
              <w:pStyle w:val="Normal1"/>
              <w:widowControl w:val="false"/>
              <w:spacing w:lineRule="auto" w:line="240" w:before="57" w:after="57"/>
              <w:jc w:val="both"/>
              <w:rPr>
                <w:position w:val="0"/>
                <w:sz w:val="24"/>
                <w:sz w:val="24"/>
                <w:vertAlign w:val="baseline"/>
              </w:rPr>
            </w:pPr>
            <w:r>
              <w:rPr>
                <w:rFonts w:eastAsia="Arial" w:cs="Arial" w:ascii="Arial" w:hAnsi="Arial"/>
                <w:position w:val="0"/>
                <w:sz w:val="20"/>
                <w:sz w:val="20"/>
                <w:szCs w:val="20"/>
                <w:vertAlign w:val="baseline"/>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trPr>
          <w:cantSplit w:val="true"/>
        </w:trPr>
        <w:tc>
          <w:tcPr>
            <w:tcW w:w="9108" w:type="dxa"/>
            <w:gridSpan w:val="3"/>
            <w:tcBorders/>
            <w:shd w:fill="auto" w:val="clear"/>
          </w:tcPr>
          <w:p>
            <w:pPr>
              <w:pStyle w:val="Normal1"/>
              <w:widowControl w:val="false"/>
              <w:spacing w:lineRule="auto" w:line="240" w:before="57" w:after="0"/>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___ de _______________ 20__.</w:t>
            </w:r>
          </w:p>
        </w:tc>
      </w:tr>
      <w:tr>
        <w:trPr>
          <w:cantSplit w:val="true"/>
        </w:trPr>
        <w:tc>
          <w:tcPr>
            <w:tcW w:w="9108" w:type="dxa"/>
            <w:gridSpan w:val="3"/>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52"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Representante Legal da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b w:val="false"/>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Assinatura:</w:t>
            </w:r>
          </w:p>
        </w:tc>
        <w:tc>
          <w:tcPr>
            <w:tcW w:w="455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7"/>
        <w:tblW w:w="9109" w:type="dxa"/>
        <w:jc w:val="left"/>
        <w:tblInd w:w="-3" w:type="dxa"/>
        <w:tblLayout w:type="fixed"/>
        <w:tblCellMar>
          <w:top w:w="0" w:type="dxa"/>
          <w:left w:w="108" w:type="dxa"/>
          <w:bottom w:w="0" w:type="dxa"/>
          <w:right w:w="108" w:type="dxa"/>
        </w:tblCellMar>
        <w:tblLook w:val="0000"/>
      </w:tblPr>
      <w:tblGrid>
        <w:gridCol w:w="417"/>
        <w:gridCol w:w="4135"/>
        <w:gridCol w:w="4556"/>
      </w:tblGrid>
      <w:tr>
        <w:trPr>
          <w:cantSplit w:val="true"/>
        </w:trPr>
        <w:tc>
          <w:tcPr>
            <w:tcW w:w="9108" w:type="dxa"/>
            <w:gridSpan w:val="3"/>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VII</w:t>
            </w:r>
          </w:p>
        </w:tc>
      </w:tr>
      <w:tr>
        <w:trPr>
          <w:cantSplit w:val="true"/>
        </w:trPr>
        <w:tc>
          <w:tcPr>
            <w:tcW w:w="9108" w:type="dxa"/>
            <w:gridSpan w:val="3"/>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vertAlign w:val="baseline"/>
              </w:rPr>
              <w:t>MODELO DO TERMO DE CIÊNCIA DAS CONDIÇÕES LOCAIS (vistoria)</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____/20__ GMS</w:t>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trPr>
          <w:cantSplit w:val="true"/>
        </w:trPr>
        <w:tc>
          <w:tcPr>
            <w:tcW w:w="9108"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pacing w:lineRule="auto" w:line="240" w:before="57" w:after="0"/>
              <w:ind w:right="57"/>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691" w:type="dxa"/>
            <w:gridSpan w:val="2"/>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pacing w:lineRule="auto" w:line="240" w:before="57" w:after="0"/>
              <w:ind w:right="57"/>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691" w:type="dxa"/>
            <w:gridSpan w:val="2"/>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08" w:type="dxa"/>
            <w:gridSpan w:val="3"/>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vertAlign w:val="baseline"/>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trPr>
          <w:cantSplit w:val="true"/>
        </w:trPr>
        <w:tc>
          <w:tcPr>
            <w:tcW w:w="9108" w:type="dxa"/>
            <w:gridSpan w:val="3"/>
            <w:tcBorders/>
            <w:shd w:fill="auto" w:val="clea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___ de _______________ 20__.</w:t>
            </w:r>
          </w:p>
        </w:tc>
      </w:tr>
      <w:tr>
        <w:trPr>
          <w:cantSplit w:val="true"/>
        </w:trPr>
        <w:tc>
          <w:tcPr>
            <w:tcW w:w="9108" w:type="dxa"/>
            <w:gridSpan w:val="3"/>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52"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Responsável Técnico do Licitante pela visita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b w:val="false"/>
                <w:position w:val="0"/>
                <w:sz w:val="20"/>
                <w:sz w:val="20"/>
                <w:szCs w:val="20"/>
                <w:highlight w:val="white"/>
                <w:vertAlign w:val="baseline"/>
              </w:rPr>
            </w:pPr>
            <w:r>
              <w:rPr>
                <w:rFonts w:eastAsia="Arial" w:cs="Arial" w:ascii="Arial" w:hAnsi="Arial"/>
                <w:position w:val="0"/>
                <w:sz w:val="20"/>
                <w:sz w:val="20"/>
                <w:szCs w:val="20"/>
                <w:highlight w:val="white"/>
                <w:vertAlign w:val="baseline"/>
              </w:rPr>
              <w:t>CREA e/ou CAU N.º</w:t>
            </w:r>
          </w:p>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Assinatura:</w:t>
            </w:r>
          </w:p>
        </w:tc>
        <w:tc>
          <w:tcPr>
            <w:tcW w:w="4556"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8"/>
        <w:tblW w:w="9114" w:type="dxa"/>
        <w:jc w:val="left"/>
        <w:tblInd w:w="-3" w:type="dxa"/>
        <w:tblLayout w:type="fixed"/>
        <w:tblCellMar>
          <w:top w:w="0" w:type="dxa"/>
          <w:left w:w="108" w:type="dxa"/>
          <w:bottom w:w="0" w:type="dxa"/>
          <w:right w:w="108" w:type="dxa"/>
        </w:tblCellMar>
        <w:tblLook w:val="0000"/>
      </w:tblPr>
      <w:tblGrid>
        <w:gridCol w:w="411"/>
        <w:gridCol w:w="3566"/>
        <w:gridCol w:w="560"/>
        <w:gridCol w:w="4577"/>
      </w:tblGrid>
      <w:tr>
        <w:trPr>
          <w:cantSplit w:val="true"/>
        </w:trPr>
        <w:tc>
          <w:tcPr>
            <w:tcW w:w="9114" w:type="dxa"/>
            <w:gridSpan w:val="4"/>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VIII</w:t>
            </w:r>
          </w:p>
        </w:tc>
      </w:tr>
      <w:tr>
        <w:trPr>
          <w:cantSplit w:val="true"/>
        </w:trPr>
        <w:tc>
          <w:tcPr>
            <w:tcW w:w="9114" w:type="dxa"/>
            <w:gridSpan w:val="4"/>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DECLARAÇÃO DE COMPROMISSO DE UTILIZAÇÃO DE PRODUTOS E SUBPRODUTOS DE MADEIRA E DE GERENCIAMENTO DE RESÍDUOS DA CONSTRUÇÃO CIVIL</w:t>
            </w:r>
          </w:p>
        </w:tc>
      </w:tr>
      <w:tr>
        <w:trPr>
          <w:cantSplit w:val="true"/>
        </w:trPr>
        <w:tc>
          <w:tcPr>
            <w:tcW w:w="9114" w:type="dxa"/>
            <w:gridSpan w:val="4"/>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4" w:type="dxa"/>
            <w:gridSpan w:val="4"/>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114" w:type="dxa"/>
            <w:gridSpan w:val="4"/>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114" w:type="dxa"/>
            <w:gridSpan w:val="4"/>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____/20__ GMS</w:t>
            </w:r>
          </w:p>
        </w:tc>
      </w:tr>
      <w:tr>
        <w:trPr>
          <w:cantSplit w:val="true"/>
        </w:trPr>
        <w:tc>
          <w:tcPr>
            <w:tcW w:w="9114" w:type="dxa"/>
            <w:gridSpan w:val="4"/>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114" w:type="dxa"/>
            <w:gridSpan w:val="4"/>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4" w:type="dxa"/>
            <w:gridSpan w:val="4"/>
            <w:tcBorders/>
            <w:shd w:fill="auto" w:val="clear"/>
            <w:vAlign w:val="cente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Eu, ______________________________, RG _____________, legalmente nomeado Representante Legal da Empresa ______________________, CNPJ _______________, para o fim de qualificação técnica no procedimento licitatório suprarreferido, declaro, sob as penas da lei, que para a execução da(s) obra(s) e serviço(s) de engenharia objeto da referida licitação a empresa cumprirá as exigências legais ambientais, e em especial:</w:t>
            </w:r>
          </w:p>
        </w:tc>
      </w:tr>
      <w:tr>
        <w:trPr>
          <w:cantSplit w:val="true"/>
        </w:trPr>
        <w:tc>
          <w:tcPr>
            <w:tcW w:w="9114" w:type="dxa"/>
            <w:gridSpan w:val="4"/>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1"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1)</w:t>
            </w:r>
          </w:p>
        </w:tc>
        <w:tc>
          <w:tcPr>
            <w:tcW w:w="8703" w:type="dxa"/>
            <w:gridSpan w:val="3"/>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Pr>
                <w:rFonts w:eastAsia="Arial" w:cs="Arial" w:ascii="Arial" w:hAnsi="Arial"/>
                <w:color w:val="000000"/>
                <w:position w:val="0"/>
                <w:sz w:val="20"/>
                <w:sz w:val="20"/>
                <w:szCs w:val="20"/>
                <w:vertAlign w:val="baseline"/>
              </w:rPr>
              <w:t xml:space="preserve"> às sanções administrativas previstas no art. 156 da Lei Federal n.º 14.133, de 2021 e nos arts. 193 ao 227 do Decreto 10.086, de 2022, sem prejuízo das implicações de ordem criminal previstas em Lei.</w:t>
            </w:r>
          </w:p>
        </w:tc>
      </w:tr>
      <w:tr>
        <w:trPr>
          <w:trHeight w:val="245" w:hRule="atLeast"/>
          <w:cantSplit w:val="true"/>
        </w:trPr>
        <w:tc>
          <w:tcPr>
            <w:tcW w:w="411" w:type="dxa"/>
            <w:tcBorders/>
            <w:shd w:fill="auto" w:val="clear"/>
          </w:tcPr>
          <w:p>
            <w:pPr>
              <w:pStyle w:val="Normal1"/>
              <w:widowControl w:val="false"/>
              <w:spacing w:lineRule="auto" w:line="240" w:before="57" w:after="0"/>
              <w:ind w:right="57"/>
              <w:jc w:val="both"/>
              <w:rPr>
                <w:position w:val="0"/>
                <w:sz w:val="24"/>
                <w:sz w:val="24"/>
                <w:vertAlign w:val="baseline"/>
              </w:rPr>
            </w:pPr>
            <w:r>
              <w:rPr>
                <w:rFonts w:eastAsia="Arial" w:cs="Arial" w:ascii="Arial" w:hAnsi="Arial"/>
                <w:position w:val="0"/>
                <w:sz w:val="20"/>
                <w:sz w:val="20"/>
                <w:szCs w:val="20"/>
                <w:highlight w:val="white"/>
                <w:vertAlign w:val="baseline"/>
              </w:rPr>
              <w:t>2)</w:t>
            </w:r>
          </w:p>
        </w:tc>
        <w:tc>
          <w:tcPr>
            <w:tcW w:w="8703" w:type="dxa"/>
            <w:gridSpan w:val="3"/>
            <w:tcBorders/>
            <w:shd w:fill="auto" w:val="clear"/>
          </w:tcPr>
          <w:p>
            <w:pPr>
              <w:pStyle w:val="Normal1"/>
              <w:widowControl w:val="false"/>
              <w:spacing w:lineRule="auto" w:line="240" w:before="57" w:after="0"/>
              <w:jc w:val="both"/>
              <w:rPr>
                <w:position w:val="0"/>
                <w:sz w:val="24"/>
                <w:sz w:val="24"/>
                <w:vertAlign w:val="baseline"/>
              </w:rPr>
            </w:pPr>
            <w:r>
              <w:rPr>
                <w:rFonts w:eastAsia="Arial" w:cs="Arial" w:ascii="Arial" w:hAnsi="Arial"/>
                <w:position w:val="0"/>
                <w:sz w:val="20"/>
                <w:sz w:val="20"/>
                <w:szCs w:val="20"/>
                <w:highlight w:val="white"/>
                <w:vertAlign w:val="baseline"/>
              </w:rPr>
              <w:t>No que diz respeito ao Gerenciamento de Resíduos da Construção Civil, a obra será realizada de acordo com a Resolução do CONAMA n.º 307, de 5 de julho de 2002 e suas alterações, e com a legislação pertinente do município onde a mesma será construída.</w:t>
            </w:r>
          </w:p>
        </w:tc>
      </w:tr>
      <w:tr>
        <w:trPr>
          <w:cantSplit w:val="true"/>
        </w:trPr>
        <w:tc>
          <w:tcPr>
            <w:tcW w:w="9114" w:type="dxa"/>
            <w:gridSpan w:val="4"/>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4" w:type="dxa"/>
            <w:gridSpan w:val="4"/>
            <w:tcBorders/>
            <w:shd w:fill="auto" w:val="clea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em ___ de _______________ 201_.</w:t>
            </w:r>
          </w:p>
        </w:tc>
      </w:tr>
      <w:tr>
        <w:trPr>
          <w:cantSplit w:val="true"/>
        </w:trPr>
        <w:tc>
          <w:tcPr>
            <w:tcW w:w="9114" w:type="dxa"/>
            <w:gridSpan w:val="4"/>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3977"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Representante Legal da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Assinatura:</w:t>
            </w:r>
          </w:p>
        </w:tc>
        <w:tc>
          <w:tcPr>
            <w:tcW w:w="560"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OU</w:t>
            </w:r>
          </w:p>
        </w:tc>
        <w:tc>
          <w:tcPr>
            <w:tcW w:w="4577"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Responsável técnico do licitante:</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Assinatura:</w:t>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69"/>
        <w:tblW w:w="9204" w:type="dxa"/>
        <w:jc w:val="left"/>
        <w:tblInd w:w="0" w:type="dxa"/>
        <w:tblLayout w:type="fixed"/>
        <w:tblCellMar>
          <w:top w:w="0" w:type="dxa"/>
          <w:left w:w="108" w:type="dxa"/>
          <w:bottom w:w="0" w:type="dxa"/>
          <w:right w:w="108" w:type="dxa"/>
        </w:tblCellMar>
        <w:tblLook w:val="0000"/>
      </w:tblPr>
      <w:tblGrid>
        <w:gridCol w:w="383"/>
        <w:gridCol w:w="155"/>
        <w:gridCol w:w="259"/>
        <w:gridCol w:w="392"/>
        <w:gridCol w:w="45"/>
        <w:gridCol w:w="141"/>
        <w:gridCol w:w="248"/>
        <w:gridCol w:w="388"/>
        <w:gridCol w:w="68"/>
        <w:gridCol w:w="346"/>
        <w:gridCol w:w="42"/>
        <w:gridCol w:w="374"/>
        <w:gridCol w:w="46"/>
        <w:gridCol w:w="111"/>
        <w:gridCol w:w="46"/>
        <w:gridCol w:w="367"/>
        <w:gridCol w:w="349"/>
        <w:gridCol w:w="67"/>
        <w:gridCol w:w="162"/>
        <w:gridCol w:w="244"/>
        <w:gridCol w:w="114"/>
        <w:gridCol w:w="150"/>
        <w:gridCol w:w="174"/>
        <w:gridCol w:w="115"/>
        <w:gridCol w:w="297"/>
        <w:gridCol w:w="388"/>
        <w:gridCol w:w="75"/>
        <w:gridCol w:w="85"/>
        <w:gridCol w:w="277"/>
        <w:gridCol w:w="69"/>
        <w:gridCol w:w="91"/>
        <w:gridCol w:w="68"/>
        <w:gridCol w:w="229"/>
        <w:gridCol w:w="137"/>
        <w:gridCol w:w="42"/>
        <w:gridCol w:w="374"/>
        <w:gridCol w:w="48"/>
        <w:gridCol w:w="205"/>
        <w:gridCol w:w="183"/>
        <w:gridCol w:w="178"/>
        <w:gridCol w:w="234"/>
        <w:gridCol w:w="390"/>
        <w:gridCol w:w="321"/>
        <w:gridCol w:w="94"/>
        <w:gridCol w:w="83"/>
        <w:gridCol w:w="406"/>
        <w:gridCol w:w="99"/>
        <w:gridCol w:w="43"/>
      </w:tblGrid>
      <w:tr>
        <w:trPr>
          <w:cantSplit w:val="true"/>
        </w:trPr>
        <w:tc>
          <w:tcPr>
            <w:tcW w:w="9060" w:type="dxa"/>
            <w:gridSpan w:val="46"/>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IX</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DECLARAÇÃO DE ATENDIMENTO AOS REQUISITOS DE HABILITAÇÃO E CAPACIDADE OPERACIONAL FINANCEIRA</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Concorrência n.º ____/20__ GMS</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DECLARAMOS, nos termos do § 8º do art. 67 da Lei Federal n.º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está em função do patrimônio líquido atualizado e sua capacidade de rotação.</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DEMONSTRAÇÕES:</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0"/>
                <w:numId w:val="10"/>
              </w:numPr>
              <w:tabs>
                <w:tab w:val="clear" w:pos="720"/>
                <w:tab w:val="left" w:pos="568" w:leader="none"/>
              </w:tabs>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CÁLCULO DO SALDO CONTRATUAL (SC):</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54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Item</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N° do Contrato</w:t>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Obra ou Serviços</w:t>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Valor do Compromisso (R$)</w:t>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Valor Já Faturado</w:t>
            </w:r>
          </w:p>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(R$)</w:t>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Contratante</w:t>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1</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2</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3</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4</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5</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6</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7</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8</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9</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10</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8"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837"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60" w:hRule="atLeast"/>
          <w:cantSplit w:val="true"/>
        </w:trPr>
        <w:tc>
          <w:tcPr>
            <w:tcW w:w="3760" w:type="dxa"/>
            <w:gridSpan w:val="1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right="142"/>
              <w:jc w:val="right"/>
              <w:rPr>
                <w:position w:val="0"/>
                <w:sz w:val="24"/>
                <w:sz w:val="24"/>
                <w:vertAlign w:val="baseline"/>
              </w:rPr>
            </w:pPr>
            <w:sdt>
              <w:sdtPr>
                <w:tag w:val="goog_rdk_0"/>
              </w:sdtPr>
              <w:sdtContent>
                <w:r>
                  <w:rPr>
                    <w:rFonts w:eastAsia="Arial Unicode MS" w:cs="Arial Unicode MS" w:ascii="Arial Unicode MS" w:hAnsi="Arial Unicode MS"/>
                    <w:position w:val="0"/>
                    <w:sz w:val="20"/>
                    <w:sz w:val="20"/>
                    <w:szCs w:val="20"/>
                    <w:highlight w:val="white"/>
                    <w:vertAlign w:val="baseline"/>
                  </w:rPr>
                </w:r>
                <w:r>
                  <w:rPr>
                    <w:rFonts w:eastAsia="Arial Unicode MS" w:cs="Arial Unicode MS" w:ascii="Arial Unicode MS" w:hAnsi="Arial Unicode MS"/>
                    <w:position w:val="0"/>
                    <w:sz w:val="20"/>
                    <w:sz w:val="20"/>
                    <w:szCs w:val="20"/>
                    <w:highlight w:val="white"/>
                    <w:vertAlign w:val="baseline"/>
                  </w:rPr>
                  <w:t xml:space="preserve">SOMATÓRIOS (∑) =  </w:t>
                </w:r>
              </w:sdtContent>
            </w:sdt>
          </w:p>
        </w:tc>
        <w:tc>
          <w:tcPr>
            <w:tcW w:w="187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1"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7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5631" w:type="dxa"/>
            <w:gridSpan w:val="28"/>
            <w:tcBorders/>
            <w:shd w:fill="auto" w:val="clear"/>
            <w:vAlign w:val="center"/>
          </w:tcPr>
          <w:p>
            <w:pPr>
              <w:pStyle w:val="Normal1"/>
              <w:widowControl w:val="false"/>
              <w:spacing w:lineRule="auto" w:line="240" w:before="57" w:after="0"/>
              <w:ind w:right="57"/>
              <w:jc w:val="right"/>
              <w:rPr>
                <w:position w:val="0"/>
                <w:sz w:val="24"/>
                <w:sz w:val="24"/>
                <w:vertAlign w:val="baseline"/>
              </w:rPr>
            </w:pPr>
            <w:sdt>
              <w:sdtPr>
                <w:tag w:val="goog_rdk_1"/>
              </w:sdtPr>
              <w:sdtContent>
                <w:r>
                  <w:rPr>
                    <w:rFonts w:eastAsia="Arial Unicode MS" w:cs="Arial Unicode MS" w:ascii="Arial Unicode MS" w:hAnsi="Arial Unicode MS"/>
                    <w:position w:val="0"/>
                    <w:sz w:val="20"/>
                    <w:sz w:val="20"/>
                    <w:szCs w:val="20"/>
                    <w:highlight w:val="white"/>
                    <w:vertAlign w:val="baseline"/>
                  </w:rPr>
                </w:r>
                <w:r>
                  <w:rPr>
                    <w:rFonts w:eastAsia="Arial Unicode MS" w:cs="Arial Unicode MS" w:ascii="Arial Unicode MS" w:hAnsi="Arial Unicode MS"/>
                    <w:position w:val="0"/>
                    <w:sz w:val="20"/>
                    <w:sz w:val="20"/>
                    <w:szCs w:val="20"/>
                    <w:highlight w:val="white"/>
                    <w:vertAlign w:val="baseline"/>
                  </w:rPr>
                  <w:t xml:space="preserve">∑ </w:t>
                </w:r>
                <w:r>
                  <w:rPr>
                    <w:rFonts w:eastAsia="Arial Unicode MS" w:cs="Arial Unicode MS" w:ascii="Arial Unicode MS" w:hAnsi="Arial Unicode MS"/>
                    <w:position w:val="0"/>
                    <w:sz w:val="20"/>
                    <w:sz w:val="20"/>
                    <w:szCs w:val="20"/>
                    <w:highlight w:val="white"/>
                    <w:vertAlign w:val="baseline"/>
                  </w:rPr>
                  <w:t>Valor do compromisso =</w:t>
                </w:r>
              </w:sdtContent>
            </w:sdt>
          </w:p>
        </w:tc>
        <w:tc>
          <w:tcPr>
            <w:tcW w:w="3571" w:type="dxa"/>
            <w:gridSpan w:val="20"/>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5631" w:type="dxa"/>
            <w:gridSpan w:val="28"/>
            <w:tcBorders/>
            <w:shd w:fill="auto" w:val="clear"/>
            <w:vAlign w:val="center"/>
          </w:tcPr>
          <w:p>
            <w:pPr>
              <w:pStyle w:val="Normal1"/>
              <w:widowControl w:val="false"/>
              <w:spacing w:lineRule="auto" w:line="240" w:before="57" w:after="0"/>
              <w:ind w:right="57"/>
              <w:jc w:val="right"/>
              <w:rPr>
                <w:position w:val="0"/>
                <w:sz w:val="24"/>
                <w:sz w:val="24"/>
                <w:vertAlign w:val="baseline"/>
              </w:rPr>
            </w:pPr>
            <w:sdt>
              <w:sdtPr>
                <w:tag w:val="goog_rdk_2"/>
              </w:sdtPr>
              <w:sdtContent>
                <w:r>
                  <w:rPr>
                    <w:rFonts w:eastAsia="Arial Unicode MS" w:cs="Arial Unicode MS" w:ascii="Arial Unicode MS" w:hAnsi="Arial Unicode MS"/>
                    <w:position w:val="0"/>
                    <w:sz w:val="20"/>
                    <w:sz w:val="20"/>
                    <w:szCs w:val="20"/>
                    <w:highlight w:val="white"/>
                    <w:vertAlign w:val="baseline"/>
                  </w:rPr>
                </w:r>
                <w:r>
                  <w:rPr>
                    <w:rFonts w:eastAsia="Arial Unicode MS" w:cs="Arial Unicode MS" w:ascii="Arial Unicode MS" w:hAnsi="Arial Unicode MS"/>
                    <w:position w:val="0"/>
                    <w:sz w:val="20"/>
                    <w:sz w:val="20"/>
                    <w:szCs w:val="20"/>
                    <w:highlight w:val="white"/>
                    <w:vertAlign w:val="baseline"/>
                  </w:rPr>
                  <w:t xml:space="preserve">∑ </w:t>
                </w:r>
                <w:r>
                  <w:rPr>
                    <w:rFonts w:eastAsia="Arial Unicode MS" w:cs="Arial Unicode MS" w:ascii="Arial Unicode MS" w:hAnsi="Arial Unicode MS"/>
                    <w:position w:val="0"/>
                    <w:sz w:val="20"/>
                    <w:sz w:val="20"/>
                    <w:szCs w:val="20"/>
                    <w:highlight w:val="white"/>
                    <w:vertAlign w:val="baseline"/>
                  </w:rPr>
                  <w:t>Valor já faturado =</w:t>
                </w:r>
              </w:sdtContent>
            </w:sdt>
          </w:p>
        </w:tc>
        <w:tc>
          <w:tcPr>
            <w:tcW w:w="3571" w:type="dxa"/>
            <w:gridSpan w:val="20"/>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1234" w:type="dxa"/>
            <w:gridSpan w:val="5"/>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SC =</w:t>
            </w:r>
          </w:p>
        </w:tc>
        <w:tc>
          <w:tcPr>
            <w:tcW w:w="4397" w:type="dxa"/>
            <w:gridSpan w:val="23"/>
            <w:tcBorders/>
            <w:shd w:fill="auto" w:val="clear"/>
            <w:vAlign w:val="center"/>
          </w:tcPr>
          <w:p>
            <w:pPr>
              <w:pStyle w:val="Normal1"/>
              <w:widowControl w:val="false"/>
              <w:spacing w:lineRule="auto" w:line="240" w:before="57" w:after="0"/>
              <w:ind w:right="57"/>
              <w:jc w:val="right"/>
              <w:rPr>
                <w:position w:val="0"/>
                <w:sz w:val="24"/>
                <w:sz w:val="24"/>
                <w:vertAlign w:val="baseline"/>
              </w:rPr>
            </w:pPr>
            <w:sdt>
              <w:sdtPr>
                <w:tag w:val="goog_rdk_3"/>
              </w:sdtPr>
              <w:sdtContent>
                <w:r>
                  <w:rPr>
                    <w:rFonts w:eastAsia="Arial Unicode MS" w:cs="Arial Unicode MS" w:ascii="Arial Unicode MS" w:hAnsi="Arial Unicode MS"/>
                    <w:position w:val="0"/>
                    <w:sz w:val="20"/>
                    <w:sz w:val="20"/>
                    <w:szCs w:val="20"/>
                    <w:highlight w:val="white"/>
                    <w:vertAlign w:val="baseline"/>
                  </w:rPr>
                </w:r>
                <w:r>
                  <w:rPr>
                    <w:rFonts w:eastAsia="Arial Unicode MS" w:cs="Arial Unicode MS" w:ascii="Arial Unicode MS" w:hAnsi="Arial Unicode MS"/>
                    <w:position w:val="0"/>
                    <w:sz w:val="20"/>
                    <w:sz w:val="20"/>
                    <w:szCs w:val="20"/>
                    <w:highlight w:val="white"/>
                    <w:vertAlign w:val="baseline"/>
                  </w:rPr>
                  <w:t xml:space="preserve">∑ </w:t>
                </w:r>
                <w:r>
                  <w:rPr>
                    <w:rFonts w:eastAsia="Arial Unicode MS" w:cs="Arial Unicode MS" w:ascii="Arial Unicode MS" w:hAnsi="Arial Unicode MS"/>
                    <w:position w:val="0"/>
                    <w:sz w:val="20"/>
                    <w:sz w:val="20"/>
                    <w:szCs w:val="20"/>
                    <w:highlight w:val="white"/>
                    <w:vertAlign w:val="baseline"/>
                  </w:rPr>
                  <w:t>Valor do compromisso – ∑ Valor já faturado =</w:t>
                </w:r>
              </w:sdtContent>
            </w:sdt>
          </w:p>
        </w:tc>
        <w:tc>
          <w:tcPr>
            <w:tcW w:w="3571" w:type="dxa"/>
            <w:gridSpan w:val="20"/>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Onde:</w:t>
            </w:r>
          </w:p>
        </w:tc>
        <w:tc>
          <w:tcPr>
            <w:tcW w:w="6981" w:type="dxa"/>
            <w:gridSpan w:val="37"/>
            <w:tcBorders/>
            <w:shd w:fill="auto" w:val="clear"/>
            <w:vAlign w:val="cente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SC =</w:t>
            </w:r>
          </w:p>
        </w:tc>
        <w:tc>
          <w:tcPr>
            <w:tcW w:w="6981" w:type="dxa"/>
            <w:gridSpan w:val="37"/>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Saldo Contratual</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SC =</w:t>
            </w:r>
          </w:p>
        </w:tc>
        <w:tc>
          <w:tcPr>
            <w:tcW w:w="6981" w:type="dxa"/>
            <w:gridSpan w:val="37"/>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Diferença entre a somatória dos compromissos e a somatória dos valores já faturados referentes aos compromissos.</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0"/>
                <w:numId w:val="10"/>
              </w:numPr>
              <w:tabs>
                <w:tab w:val="clear" w:pos="720"/>
                <w:tab w:val="left" w:pos="568" w:leader="none"/>
              </w:tabs>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CÁLCULO DA DISPONIBILIDADE FINANCEIRA OPERACIONAL:</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ÍNDICE DE LIQUIDEZ CORRENTE (ILC):</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ILC =</w:t>
            </w:r>
          </w:p>
        </w:tc>
        <w:tc>
          <w:tcPr>
            <w:tcW w:w="2268" w:type="dxa"/>
            <w:gridSpan w:val="12"/>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Ativo Circulante</w:t>
            </w:r>
          </w:p>
        </w:tc>
        <w:tc>
          <w:tcPr>
            <w:tcW w:w="439" w:type="dxa"/>
            <w:gridSpan w:val="3"/>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15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837" w:type="dxa"/>
            <w:gridSpan w:val="15"/>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268" w:type="dxa"/>
            <w:gridSpan w:val="12"/>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Passivo Circulante</w:t>
            </w:r>
          </w:p>
        </w:tc>
        <w:tc>
          <w:tcPr>
            <w:tcW w:w="439" w:type="dxa"/>
            <w:gridSpan w:val="3"/>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15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2837" w:type="dxa"/>
            <w:gridSpan w:val="15"/>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ÍNDICE DE LIQUIDEZ GERAL (ILG):</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ILG =</w:t>
            </w:r>
          </w:p>
        </w:tc>
        <w:tc>
          <w:tcPr>
            <w:tcW w:w="4465" w:type="dxa"/>
            <w:gridSpan w:val="26"/>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Ativo Circulante + Realizável a Longo Prazo</w:t>
            </w:r>
          </w:p>
        </w:tc>
        <w:tc>
          <w:tcPr>
            <w:tcW w:w="422" w:type="dxa"/>
            <w:gridSpan w:val="2"/>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1511" w:type="dxa"/>
            <w:gridSpan w:val="6"/>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25" w:type="dxa"/>
            <w:gridSpan w:val="5"/>
            <w:vMerge w:val="restart"/>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465" w:type="dxa"/>
            <w:gridSpan w:val="26"/>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Passivo Circulante + Exigível à Longo Prazo</w:t>
            </w:r>
          </w:p>
        </w:tc>
        <w:tc>
          <w:tcPr>
            <w:tcW w:w="422" w:type="dxa"/>
            <w:gridSpan w:val="2"/>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1511" w:type="dxa"/>
            <w:gridSpan w:val="6"/>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725" w:type="dxa"/>
            <w:gridSpan w:val="5"/>
            <w:vMerge w:val="continue"/>
            <w:tcBorders>
              <w:top w:val="single" w:sz="4" w:space="0" w:color="000080"/>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GRAU DE ENDIVIDAMENTO (GE):</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GE =</w:t>
            </w:r>
          </w:p>
        </w:tc>
        <w:tc>
          <w:tcPr>
            <w:tcW w:w="4465" w:type="dxa"/>
            <w:gridSpan w:val="26"/>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Passivo Circulante + Exigível a Longo Prazo</w:t>
            </w:r>
          </w:p>
        </w:tc>
        <w:tc>
          <w:tcPr>
            <w:tcW w:w="422" w:type="dxa"/>
            <w:gridSpan w:val="2"/>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1511" w:type="dxa"/>
            <w:gridSpan w:val="6"/>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25" w:type="dxa"/>
            <w:gridSpan w:val="5"/>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465" w:type="dxa"/>
            <w:gridSpan w:val="26"/>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Ativo Total</w:t>
            </w:r>
          </w:p>
        </w:tc>
        <w:tc>
          <w:tcPr>
            <w:tcW w:w="422" w:type="dxa"/>
            <w:gridSpan w:val="2"/>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1511" w:type="dxa"/>
            <w:gridSpan w:val="6"/>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725" w:type="dxa"/>
            <w:gridSpan w:val="5"/>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VALOR PATRIMONIAL (VP):</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VP =</w:t>
            </w:r>
          </w:p>
        </w:tc>
        <w:tc>
          <w:tcPr>
            <w:tcW w:w="2268" w:type="dxa"/>
            <w:gridSpan w:val="12"/>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Patrimônio Líquido</w:t>
            </w:r>
          </w:p>
        </w:tc>
        <w:tc>
          <w:tcPr>
            <w:tcW w:w="439" w:type="dxa"/>
            <w:gridSpan w:val="3"/>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15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837" w:type="dxa"/>
            <w:gridSpan w:val="15"/>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268" w:type="dxa"/>
            <w:gridSpan w:val="12"/>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Capital Social</w:t>
            </w:r>
          </w:p>
        </w:tc>
        <w:tc>
          <w:tcPr>
            <w:tcW w:w="439" w:type="dxa"/>
            <w:gridSpan w:val="3"/>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15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2837" w:type="dxa"/>
            <w:gridSpan w:val="15"/>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CÁLCULO DOS COEFICIENTES K5, K6, K7 e Kf:</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9"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CAPACIDADE</w:t>
            </w:r>
          </w:p>
        </w:tc>
        <w:tc>
          <w:tcPr>
            <w:tcW w:w="1557"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ÍNDICES</w:t>
            </w:r>
          </w:p>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w:t>
            </w:r>
          </w:p>
        </w:tc>
        <w:tc>
          <w:tcPr>
            <w:tcW w:w="162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PESO</w:t>
            </w:r>
          </w:p>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w:t>
            </w:r>
          </w:p>
        </w:tc>
        <w:tc>
          <w:tcPr>
            <w:tcW w:w="2031" w:type="dxa"/>
            <w:gridSpan w:val="10"/>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(1) X (2)</w:t>
            </w:r>
          </w:p>
        </w:tc>
      </w:tr>
      <w:tr>
        <w:trPr>
          <w:trHeight w:val="300" w:hRule="atLeast"/>
          <w:cantSplit w:val="true"/>
        </w:trPr>
        <w:tc>
          <w:tcPr>
            <w:tcW w:w="3989"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ÍNDICE DE LIQUIDEZ CORRENTE – ILC</w:t>
            </w:r>
          </w:p>
        </w:tc>
        <w:tc>
          <w:tcPr>
            <w:tcW w:w="1557"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2031" w:type="dxa"/>
            <w:gridSpan w:val="10"/>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9"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ÍNDICE DE LIQUIDEZ GERAL – ILG</w:t>
            </w:r>
          </w:p>
        </w:tc>
        <w:tc>
          <w:tcPr>
            <w:tcW w:w="1557"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5"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50</w:t>
            </w:r>
          </w:p>
        </w:tc>
        <w:tc>
          <w:tcPr>
            <w:tcW w:w="2031" w:type="dxa"/>
            <w:gridSpan w:val="10"/>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9" w:type="dxa"/>
            <w:gridSpan w:val="19"/>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VALOR PATRIMONIAL – VP</w:t>
            </w:r>
          </w:p>
        </w:tc>
        <w:tc>
          <w:tcPr>
            <w:tcW w:w="1557" w:type="dxa"/>
            <w:gridSpan w:val="8"/>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5" w:type="dxa"/>
            <w:gridSpan w:val="11"/>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2031" w:type="dxa"/>
            <w:gridSpan w:val="10"/>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60" w:type="dxa"/>
            <w:gridSpan w:val="46"/>
            <w:tcBorders>
              <w:top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 w:type="dxa"/>
            <w:tcBorders/>
            <w:shd w:fill="auto" w:val="clear"/>
          </w:tcPr>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2887" w:type="dxa"/>
            <w:gridSpan w:val="1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TABELA PARA SE OBTER K5</w:t>
            </w:r>
          </w:p>
        </w:tc>
        <w:tc>
          <w:tcPr>
            <w:tcW w:w="157"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933" w:type="dxa"/>
            <w:gridSpan w:val="15"/>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TABELA PARA SE OBTER K6</w:t>
            </w:r>
          </w:p>
        </w:tc>
        <w:tc>
          <w:tcPr>
            <w:tcW w:w="159"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066" w:type="dxa"/>
            <w:gridSpan w:val="16"/>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TABELA PARA SE OBTER K7</w:t>
            </w:r>
          </w:p>
        </w:tc>
      </w:tr>
      <w:tr>
        <w:trPr>
          <w:trHeight w:val="300" w:hRule="atLeast"/>
          <w:cantSplit w:val="true"/>
        </w:trPr>
        <w:tc>
          <w:tcPr>
            <w:tcW w:w="2467" w:type="dxa"/>
            <w:gridSpan w:val="11"/>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DE ILC</w:t>
            </w:r>
          </w:p>
        </w:tc>
        <w:tc>
          <w:tcPr>
            <w:tcW w:w="420"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K5</w:t>
            </w:r>
          </w:p>
        </w:tc>
        <w:tc>
          <w:tcPr>
            <w:tcW w:w="157"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02" w:type="dxa"/>
            <w:gridSpan w:val="1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DE ILG</w:t>
            </w:r>
          </w:p>
        </w:tc>
        <w:tc>
          <w:tcPr>
            <w:tcW w:w="431"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K6</w:t>
            </w:r>
          </w:p>
        </w:tc>
        <w:tc>
          <w:tcPr>
            <w:tcW w:w="159"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18" w:type="dxa"/>
            <w:gridSpan w:val="1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DE VP</w:t>
            </w:r>
          </w:p>
        </w:tc>
        <w:tc>
          <w:tcPr>
            <w:tcW w:w="548"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K7</w:t>
            </w:r>
          </w:p>
        </w:tc>
      </w:tr>
      <w:tr>
        <w:trPr>
          <w:trHeight w:val="300" w:hRule="atLeast"/>
          <w:cantSplit w:val="true"/>
        </w:trPr>
        <w:tc>
          <w:tcPr>
            <w:tcW w:w="383"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15</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4"/>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39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34"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1,2</w:t>
            </w:r>
          </w:p>
        </w:tc>
        <w:tc>
          <w:tcPr>
            <w:tcW w:w="157"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25</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5"/>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0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38"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50</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160"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10</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6"/>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90"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631"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0,8</w:t>
            </w:r>
          </w:p>
        </w:tc>
      </w:tr>
      <w:tr>
        <w:trPr>
          <w:trHeight w:val="300" w:hRule="atLeast"/>
          <w:cantSplit w:val="true"/>
        </w:trPr>
        <w:tc>
          <w:tcPr>
            <w:tcW w:w="383"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7"/>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39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34"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36</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1,5</w:t>
            </w:r>
          </w:p>
        </w:tc>
        <w:tc>
          <w:tcPr>
            <w:tcW w:w="157"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50</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8"/>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0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38"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60</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2,5</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9"/>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90"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24</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631"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1,0</w:t>
            </w:r>
          </w:p>
        </w:tc>
      </w:tr>
      <w:tr>
        <w:trPr>
          <w:trHeight w:val="300" w:hRule="atLeast"/>
          <w:cantSplit w:val="true"/>
        </w:trPr>
        <w:tc>
          <w:tcPr>
            <w:tcW w:w="383"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36</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0"/>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39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34"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39</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1,8</w:t>
            </w:r>
          </w:p>
        </w:tc>
        <w:tc>
          <w:tcPr>
            <w:tcW w:w="157"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60</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1"/>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0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38"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65</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24</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2"/>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90"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26</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631"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1,2</w:t>
            </w:r>
          </w:p>
        </w:tc>
      </w:tr>
      <w:tr>
        <w:trPr>
          <w:trHeight w:val="300" w:hRule="atLeast"/>
          <w:cantSplit w:val="true"/>
        </w:trPr>
        <w:tc>
          <w:tcPr>
            <w:tcW w:w="383"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39</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3"/>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39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34"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51</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2,1</w:t>
            </w:r>
          </w:p>
        </w:tc>
        <w:tc>
          <w:tcPr>
            <w:tcW w:w="157"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65</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4"/>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0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38"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85</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3,5</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26</w:t>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5"/>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390"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34</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631"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1,4</w:t>
            </w:r>
          </w:p>
        </w:tc>
      </w:tr>
      <w:tr>
        <w:trPr>
          <w:trHeight w:val="300" w:hRule="atLeast"/>
          <w:cantSplit w:val="true"/>
        </w:trPr>
        <w:tc>
          <w:tcPr>
            <w:tcW w:w="383"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92"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34"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6"/>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51</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6" w:type="dxa"/>
            <w:gridSpan w:val="2"/>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2,4</w:t>
            </w:r>
          </w:p>
        </w:tc>
        <w:tc>
          <w:tcPr>
            <w:tcW w:w="157"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0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38"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7"/>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85</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37" w:type="dxa"/>
            <w:gridSpan w:val="3"/>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4,0</w:t>
            </w:r>
          </w:p>
        </w:tc>
        <w:tc>
          <w:tcPr>
            <w:tcW w:w="160"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8"/>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390"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34</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631" w:type="dxa"/>
            <w:gridSpan w:val="4"/>
            <w:tcBorders>
              <w:top w:val="single" w:sz="8" w:space="0" w:color="000080"/>
              <w:left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1,6</w:t>
            </w:r>
          </w:p>
        </w:tc>
      </w:tr>
      <w:tr>
        <w:trPr>
          <w:trHeight w:val="300" w:hRule="atLeast"/>
          <w:cantSplit w:val="true"/>
        </w:trPr>
        <w:tc>
          <w:tcPr>
            <w:tcW w:w="2467" w:type="dxa"/>
            <w:gridSpan w:val="11"/>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b/>
                <w:position w:val="0"/>
                <w:sz w:val="20"/>
                <w:sz w:val="20"/>
                <w:szCs w:val="20"/>
                <w:highlight w:val="white"/>
                <w:vertAlign w:val="baseline"/>
              </w:rPr>
              <w:t>VALOR ASSUMIDO PARA K5 =</w:t>
            </w:r>
          </w:p>
        </w:tc>
        <w:tc>
          <w:tcPr>
            <w:tcW w:w="420"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7"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02" w:type="dxa"/>
            <w:gridSpan w:val="1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b/>
                <w:position w:val="0"/>
                <w:sz w:val="20"/>
                <w:sz w:val="20"/>
                <w:szCs w:val="20"/>
                <w:highlight w:val="white"/>
                <w:vertAlign w:val="baseline"/>
              </w:rPr>
              <w:t>VALOR ASSUMIDO PARA K6 =</w:t>
            </w:r>
          </w:p>
        </w:tc>
        <w:tc>
          <w:tcPr>
            <w:tcW w:w="431" w:type="dxa"/>
            <w:gridSpan w:val="3"/>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9"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18" w:type="dxa"/>
            <w:gridSpan w:val="13"/>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b/>
                <w:position w:val="0"/>
                <w:sz w:val="20"/>
                <w:sz w:val="20"/>
                <w:szCs w:val="20"/>
                <w:highlight w:val="white"/>
                <w:vertAlign w:val="baseline"/>
              </w:rPr>
              <w:t>VALOR ASSUMIDO PARA K7 =</w:t>
            </w:r>
          </w:p>
        </w:tc>
        <w:tc>
          <w:tcPr>
            <w:tcW w:w="548" w:type="dxa"/>
            <w:gridSpan w:val="3"/>
            <w:tcBorders>
              <w:top w:val="single" w:sz="12" w:space="0" w:color="000080"/>
              <w:left w:val="single" w:sz="12" w:space="0" w:color="000080"/>
              <w:bottom w:val="single" w:sz="12" w:space="0" w:color="000080"/>
              <w:right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 w:type="dxa"/>
            <w:tcBorders/>
            <w:shd w:fill="auto" w:val="clear"/>
          </w:tcPr>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Onde:</w:t>
            </w:r>
          </w:p>
        </w:tc>
        <w:tc>
          <w:tcPr>
            <w:tcW w:w="6981" w:type="dxa"/>
            <w:gridSpan w:val="37"/>
            <w:tcBorders/>
            <w:shd w:fill="auto" w:val="clear"/>
            <w:vAlign w:val="cente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Kf =</w:t>
            </w:r>
          </w:p>
        </w:tc>
        <w:tc>
          <w:tcPr>
            <w:tcW w:w="6981" w:type="dxa"/>
            <w:gridSpan w:val="37"/>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Coeficiente Financeiro</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Kf =</w:t>
            </w:r>
          </w:p>
        </w:tc>
        <w:tc>
          <w:tcPr>
            <w:tcW w:w="2268" w:type="dxa"/>
            <w:gridSpan w:val="12"/>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K5 + K6 + K7</w:t>
            </w:r>
          </w:p>
        </w:tc>
        <w:tc>
          <w:tcPr>
            <w:tcW w:w="439" w:type="dxa"/>
            <w:gridSpan w:val="3"/>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1579"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695" w:type="dxa"/>
            <w:gridSpan w:val="13"/>
            <w:tcBorders>
              <w:left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DISPONIBILIDADE FINANCEIRA OPERACIONAL (D):</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D =</w:t>
            </w:r>
          </w:p>
        </w:tc>
        <w:tc>
          <w:tcPr>
            <w:tcW w:w="2268" w:type="dxa"/>
            <w:gridSpan w:val="12"/>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1,25 x Kf x PL – SC</w:t>
            </w:r>
          </w:p>
        </w:tc>
        <w:tc>
          <w:tcPr>
            <w:tcW w:w="439" w:type="dxa"/>
            <w:gridSpan w:val="3"/>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w:t>
            </w:r>
          </w:p>
        </w:tc>
        <w:tc>
          <w:tcPr>
            <w:tcW w:w="1579"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695" w:type="dxa"/>
            <w:gridSpan w:val="13"/>
            <w:tcBorders>
              <w:left w:val="single" w:sz="4" w:space="0" w:color="000080"/>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ind w:hanging="0" w:left="425"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Onde:</w:t>
            </w:r>
          </w:p>
        </w:tc>
        <w:tc>
          <w:tcPr>
            <w:tcW w:w="6981" w:type="dxa"/>
            <w:gridSpan w:val="37"/>
            <w:tcBorders/>
            <w:shd w:fill="auto" w:val="clear"/>
            <w:vAlign w:val="cente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PL =</w:t>
            </w:r>
          </w:p>
        </w:tc>
        <w:tc>
          <w:tcPr>
            <w:tcW w:w="6981" w:type="dxa"/>
            <w:gridSpan w:val="37"/>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Patrimônio Líquido</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9" w:type="dxa"/>
            <w:gridSpan w:val="9"/>
            <w:tcBorders/>
            <w:shd w:fill="auto" w:val="clear"/>
            <w:vAlign w:val="cente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SC =</w:t>
            </w:r>
          </w:p>
        </w:tc>
        <w:tc>
          <w:tcPr>
            <w:tcW w:w="6981" w:type="dxa"/>
            <w:gridSpan w:val="37"/>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Saldo Contratual</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numPr>
                <w:ilvl w:val="1"/>
                <w:numId w:val="10"/>
              </w:numPr>
              <w:tabs>
                <w:tab w:val="clear" w:pos="720"/>
                <w:tab w:val="left" w:pos="852" w:leader="none"/>
              </w:tabs>
              <w:spacing w:lineRule="auto" w:line="240" w:before="57" w:after="0"/>
              <w:ind w:hanging="0" w:left="426" w:right="0"/>
              <w:rPr>
                <w:position w:val="0"/>
                <w:sz w:val="24"/>
                <w:sz w:val="24"/>
                <w:vertAlign w:val="baseline"/>
              </w:rPr>
            </w:pPr>
            <w:r>
              <w:rPr>
                <w:rFonts w:eastAsia="Arial" w:cs="Arial" w:ascii="Arial" w:hAnsi="Arial"/>
                <w:position w:val="0"/>
                <w:sz w:val="20"/>
                <w:sz w:val="20"/>
                <w:szCs w:val="20"/>
                <w:highlight w:val="white"/>
                <w:vertAlign w:val="baseline"/>
              </w:rPr>
              <w:t>Observações:</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tabs>
                <w:tab w:val="clear" w:pos="720"/>
                <w:tab w:val="left" w:pos="1134" w:leader="none"/>
              </w:tabs>
              <w:spacing w:lineRule="auto" w:line="240" w:before="57" w:after="0"/>
              <w:ind w:hanging="504" w:left="56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2"/>
                <w:numId w:val="11"/>
              </w:numPr>
              <w:tabs>
                <w:tab w:val="clear" w:pos="720"/>
                <w:tab w:val="left" w:pos="1134" w:leader="none"/>
              </w:tabs>
              <w:spacing w:lineRule="auto" w:line="240" w:before="57" w:after="0"/>
              <w:ind w:hanging="0" w:left="56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 Declaração deverá ser assinada pelo representante do licitante com poderes para tanto, devendo ser apresentado o instrumento de procuração caso não seja um dos representantes legais.</w:t>
            </w:r>
          </w:p>
          <w:p>
            <w:pPr>
              <w:pStyle w:val="Normal1"/>
              <w:widowControl w:val="false"/>
              <w:numPr>
                <w:ilvl w:val="2"/>
                <w:numId w:val="11"/>
              </w:numPr>
              <w:tabs>
                <w:tab w:val="clear" w:pos="720"/>
                <w:tab w:val="left" w:pos="1134" w:leader="none"/>
              </w:tabs>
              <w:spacing w:lineRule="auto" w:line="240" w:before="57" w:after="0"/>
              <w:ind w:hanging="0" w:left="56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 não apresentação desta Declaração poderá implicar desclassificação do licitante.</w:t>
            </w:r>
          </w:p>
          <w:p>
            <w:pPr>
              <w:pStyle w:val="Normal1"/>
              <w:widowControl w:val="false"/>
              <w:numPr>
                <w:ilvl w:val="2"/>
                <w:numId w:val="11"/>
              </w:numPr>
              <w:tabs>
                <w:tab w:val="clear" w:pos="720"/>
                <w:tab w:val="left" w:pos="1134" w:leader="none"/>
              </w:tabs>
              <w:spacing w:lineRule="auto" w:line="240" w:before="57" w:after="0"/>
              <w:ind w:hanging="0" w:left="567" w:right="0"/>
              <w:rPr>
                <w:position w:val="0"/>
                <w:sz w:val="24"/>
                <w:sz w:val="24"/>
                <w:vertAlign w:val="baseline"/>
              </w:rPr>
            </w:pPr>
            <w:r>
              <w:rPr>
                <w:rFonts w:eastAsia="Arial" w:cs="Arial" w:ascii="Arial" w:hAnsi="Arial"/>
                <w:position w:val="0"/>
                <w:sz w:val="20"/>
                <w:sz w:val="20"/>
                <w:szCs w:val="20"/>
                <w:highlight w:val="white"/>
                <w:vertAlign w:val="baseline"/>
              </w:rPr>
              <w:t>A tabela poderá ser ampliada para a declaração de outros compromissos acima de 10 (dez).</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tabs>
                <w:tab w:val="clear" w:pos="720"/>
                <w:tab w:val="left" w:pos="426"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O Representante Legal e o Contador, infra-assinados, declaram que as demonstrações desta declaração correspondem à real situação financeira da empresa _____________________________</w:t>
            </w:r>
          </w:p>
          <w:p>
            <w:pPr>
              <w:pStyle w:val="Normal1"/>
              <w:widowControl w:val="false"/>
              <w:tabs>
                <w:tab w:val="clear" w:pos="720"/>
                <w:tab w:val="left" w:pos="426" w:leader="none"/>
              </w:tabs>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CNPJ/MF ____________________.</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tcPr>
          <w:p>
            <w:pPr>
              <w:pStyle w:val="Normal1"/>
              <w:widowControl w:val="false"/>
              <w:spacing w:lineRule="auto" w:line="240" w:before="57" w:after="0"/>
              <w:jc w:val="right"/>
              <w:rPr>
                <w:position w:val="0"/>
                <w:sz w:val="24"/>
                <w:sz w:val="24"/>
                <w:vertAlign w:val="baseline"/>
              </w:rPr>
            </w:pPr>
            <w:r>
              <w:rPr>
                <w:rFonts w:eastAsia="Arial" w:cs="Arial" w:ascii="Arial" w:hAnsi="Arial"/>
                <w:position w:val="0"/>
                <w:sz w:val="20"/>
                <w:sz w:val="20"/>
                <w:szCs w:val="20"/>
                <w:highlight w:val="white"/>
                <w:vertAlign w:val="baseline"/>
              </w:rPr>
              <w:t>_______________, ___ de _______________ 20__.</w:t>
            </w:r>
          </w:p>
        </w:tc>
        <w:tc>
          <w:tcPr>
            <w:tcW w:w="99"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60" w:type="dxa"/>
            <w:gridSpan w:val="46"/>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9" w:type="dxa"/>
            <w:tcBorders/>
            <w:shd w:fill="auto" w:val="clea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3" w:type="dxa"/>
            <w:tcBorders/>
            <w:shd w:fill="auto" w:val="clear"/>
          </w:tcPr>
          <w:p>
            <w:pPr>
              <w:pStyle w:val="Normal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497" w:type="dxa"/>
            <w:gridSpan w:val="22"/>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Representante Legal da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CPF:</w:t>
            </w:r>
          </w:p>
          <w:p>
            <w:pPr>
              <w:pStyle w:val="Normal1"/>
              <w:widowControl w:val="false"/>
              <w:spacing w:lineRule="auto" w:line="240" w:before="57" w:after="0"/>
              <w:rPr>
                <w:rFonts w:ascii="Arial" w:hAnsi="Arial" w:eastAsia="Arial" w:cs="Arial"/>
                <w:b w:val="false"/>
                <w:position w:val="0"/>
                <w:sz w:val="20"/>
                <w:sz w:val="20"/>
                <w:szCs w:val="20"/>
                <w:highlight w:val="white"/>
                <w:vertAlign w:val="baseline"/>
              </w:rPr>
            </w:pPr>
            <w:r>
              <w:rPr>
                <w:rFonts w:eastAsia="Arial" w:cs="Arial" w:ascii="Arial" w:hAnsi="Arial"/>
                <w:position w:val="0"/>
                <w:sz w:val="20"/>
                <w:sz w:val="20"/>
                <w:szCs w:val="20"/>
                <w:highlight w:val="white"/>
                <w:vertAlign w:val="baseline"/>
              </w:rPr>
              <w:t>N.º de registro órgão de classe (se for o caso):</w:t>
            </w:r>
          </w:p>
          <w:p>
            <w:pPr>
              <w:pStyle w:val="Normal1"/>
              <w:widowControl w:val="false"/>
              <w:spacing w:lineRule="auto" w:line="240" w:before="57" w:after="0"/>
              <w:rPr>
                <w:position w:val="0"/>
                <w:sz w:val="24"/>
                <w:sz w:val="24"/>
                <w:vertAlign w:val="baseline"/>
              </w:rPr>
            </w:pPr>
            <w:r>
              <w:rPr>
                <w:rFonts w:eastAsia="Arial" w:cs="Arial" w:ascii="Arial" w:hAnsi="Arial"/>
                <w:b w:val="false"/>
                <w:position w:val="0"/>
                <w:sz w:val="20"/>
                <w:sz w:val="20"/>
                <w:szCs w:val="20"/>
                <w:highlight w:val="white"/>
                <w:vertAlign w:val="baseline"/>
              </w:rPr>
              <w:t>Assinatura:</w:t>
            </w:r>
          </w:p>
        </w:tc>
        <w:tc>
          <w:tcPr>
            <w:tcW w:w="4705" w:type="dxa"/>
            <w:gridSpan w:val="26"/>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Contador responsável pela Empresa:</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Nome:</w:t>
            </w:r>
          </w:p>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CRC N.º:</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Assinatura:</w:t>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70"/>
        <w:tblW w:w="9117" w:type="dxa"/>
        <w:jc w:val="left"/>
        <w:tblInd w:w="-3" w:type="dxa"/>
        <w:tblLayout w:type="fixed"/>
        <w:tblCellMar>
          <w:top w:w="0" w:type="dxa"/>
          <w:left w:w="108" w:type="dxa"/>
          <w:bottom w:w="0" w:type="dxa"/>
          <w:right w:w="108" w:type="dxa"/>
        </w:tblCellMar>
        <w:tblLook w:val="0000"/>
      </w:tblPr>
      <w:tblGrid>
        <w:gridCol w:w="1125"/>
        <w:gridCol w:w="6124"/>
        <w:gridCol w:w="1868"/>
      </w:tblGrid>
      <w:tr>
        <w:trPr>
          <w:cantSplit w:val="true"/>
        </w:trPr>
        <w:tc>
          <w:tcPr>
            <w:tcW w:w="9117" w:type="dxa"/>
            <w:gridSpan w:val="3"/>
            <w:tcBorders/>
            <w:shd w:fill="auto" w:val="clear"/>
            <w:vAlign w:val="center"/>
          </w:tcPr>
          <w:p>
            <w:pPr>
              <w:pStyle w:val="Normal1"/>
              <w:pageBreakBefore/>
              <w:widowControl w:val="fals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X</w:t>
            </w:r>
          </w:p>
        </w:tc>
      </w:tr>
      <w:tr>
        <w:trPr>
          <w:cantSplit w:val="true"/>
        </w:trPr>
        <w:tc>
          <w:tcPr>
            <w:tcW w:w="9117" w:type="dxa"/>
            <w:gridSpan w:val="3"/>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PLANILHA DE ENCARGOS SOCIAIS SOBRE CUSTOS DA MÃO DE OBRA HORISTA</w:t>
            </w:r>
          </w:p>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(COM DESONERAÇÃO)</w:t>
            </w:r>
          </w:p>
        </w:tc>
      </w:tr>
      <w:tr>
        <w:trPr>
          <w:cantSplit w:val="true"/>
        </w:trPr>
        <w:tc>
          <w:tcPr>
            <w:tcW w:w="9117" w:type="dxa"/>
            <w:gridSpan w:val="3"/>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CÓDIGO</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DESCRIÇÃO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HORISTA (%)</w:t>
            </w:r>
          </w:p>
        </w:tc>
      </w:tr>
      <w:tr>
        <w:trPr>
          <w:trHeight w:val="1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1" w:right="1"/>
              <w:jc w:val="center"/>
              <w:rPr>
                <w:position w:val="0"/>
                <w:sz w:val="24"/>
                <w:sz w:val="24"/>
                <w:vertAlign w:val="baseline"/>
              </w:rPr>
            </w:pPr>
            <w:r>
              <w:rPr>
                <w:rFonts w:eastAsia="Arial" w:cs="Arial" w:ascii="Arial" w:hAnsi="Arial"/>
                <w:position w:val="0"/>
                <w:sz w:val="20"/>
                <w:sz w:val="20"/>
                <w:szCs w:val="20"/>
                <w:highlight w:val="white"/>
                <w:vertAlign w:val="baseline"/>
              </w:rPr>
              <w:t>GRUPO A</w:t>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A1</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INSS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A2</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SESI</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A3</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SENAI</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A4</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INCRA</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A5</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SEBRAE</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A6</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Salário Educação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A7</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Seguro Contra Acidentes de Trabalho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A8</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FGTS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A9</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SECONCI</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Total dos Encargos Sociais Básicos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GRUPO B</w:t>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B1</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Repouso Semanal Remunerado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B2</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Feriados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B3</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Auxílio-Enfermidade</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B4</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13º Salário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B5</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Licença Paternidade</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B6</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Faltas Justificadas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B7</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Dias de Chuva</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B8</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Auxílio Acidente de Trabalho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B9</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Férias Gozadas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position w:val="0"/>
                <w:sz w:val="24"/>
                <w:sz w:val="24"/>
                <w:vertAlign w:val="baseline"/>
              </w:rPr>
            </w:pPr>
            <w:r>
              <w:rPr>
                <w:position w:val="0"/>
                <w:sz w:val="24"/>
                <w:sz w:val="24"/>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B10</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Salário Maternidade</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B</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Total dos Encargos Sociais que recebem incidência de A</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1" w:right="1"/>
              <w:jc w:val="center"/>
              <w:rPr>
                <w:position w:val="0"/>
                <w:sz w:val="24"/>
                <w:sz w:val="24"/>
                <w:vertAlign w:val="baseline"/>
              </w:rPr>
            </w:pPr>
            <w:r>
              <w:rPr>
                <w:rFonts w:eastAsia="Arial" w:cs="Arial" w:ascii="Arial" w:hAnsi="Arial"/>
                <w:position w:val="0"/>
                <w:sz w:val="20"/>
                <w:sz w:val="20"/>
                <w:szCs w:val="20"/>
                <w:highlight w:val="white"/>
                <w:vertAlign w:val="baseline"/>
              </w:rPr>
              <w:t>GRUPO C</w:t>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C1</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27" w:right="0"/>
              <w:rPr>
                <w:position w:val="0"/>
                <w:sz w:val="24"/>
                <w:sz w:val="24"/>
                <w:vertAlign w:val="baseline"/>
              </w:rPr>
            </w:pPr>
            <w:r>
              <w:rPr>
                <w:rFonts w:eastAsia="Arial" w:cs="Arial" w:ascii="Arial" w:hAnsi="Arial"/>
                <w:position w:val="0"/>
                <w:sz w:val="20"/>
                <w:sz w:val="20"/>
                <w:szCs w:val="20"/>
                <w:highlight w:val="white"/>
                <w:vertAlign w:val="baseline"/>
              </w:rPr>
              <w:t>Aviso Prévio Indenizado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C2</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27" w:right="0"/>
              <w:rPr>
                <w:position w:val="0"/>
                <w:sz w:val="24"/>
                <w:sz w:val="24"/>
                <w:vertAlign w:val="baseline"/>
              </w:rPr>
            </w:pPr>
            <w:r>
              <w:rPr>
                <w:rFonts w:eastAsia="Arial" w:cs="Arial" w:ascii="Arial" w:hAnsi="Arial"/>
                <w:position w:val="0"/>
                <w:sz w:val="20"/>
                <w:sz w:val="20"/>
                <w:szCs w:val="20"/>
                <w:highlight w:val="white"/>
                <w:vertAlign w:val="baseline"/>
              </w:rPr>
              <w:t>Aviso Prévio Trabalhado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C3</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27" w:right="0"/>
              <w:rPr>
                <w:position w:val="0"/>
                <w:sz w:val="24"/>
                <w:sz w:val="24"/>
                <w:vertAlign w:val="baseline"/>
              </w:rPr>
            </w:pPr>
            <w:r>
              <w:rPr>
                <w:rFonts w:eastAsia="Arial" w:cs="Arial" w:ascii="Arial" w:hAnsi="Arial"/>
                <w:position w:val="0"/>
                <w:sz w:val="20"/>
                <w:sz w:val="20"/>
                <w:szCs w:val="20"/>
                <w:highlight w:val="white"/>
                <w:vertAlign w:val="baseline"/>
              </w:rPr>
              <w:t>Férias Indenizadas</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C4</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27" w:right="0"/>
              <w:rPr>
                <w:position w:val="0"/>
                <w:sz w:val="24"/>
                <w:sz w:val="24"/>
                <w:vertAlign w:val="baseline"/>
              </w:rPr>
            </w:pPr>
            <w:r>
              <w:rPr>
                <w:rFonts w:eastAsia="Arial" w:cs="Arial" w:ascii="Arial" w:hAnsi="Arial"/>
                <w:position w:val="0"/>
                <w:sz w:val="20"/>
                <w:sz w:val="20"/>
                <w:szCs w:val="20"/>
                <w:highlight w:val="white"/>
                <w:vertAlign w:val="baseline"/>
              </w:rPr>
              <w:t>Depósito Rescisão Sem Justa Causa</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C5</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27" w:right="0"/>
              <w:rPr>
                <w:position w:val="0"/>
                <w:sz w:val="24"/>
                <w:sz w:val="24"/>
                <w:vertAlign w:val="baseline"/>
              </w:rPr>
            </w:pPr>
            <w:r>
              <w:rPr>
                <w:rFonts w:eastAsia="Arial" w:cs="Arial" w:ascii="Arial" w:hAnsi="Arial"/>
                <w:position w:val="0"/>
                <w:sz w:val="20"/>
                <w:sz w:val="20"/>
                <w:szCs w:val="20"/>
                <w:highlight w:val="white"/>
                <w:vertAlign w:val="baseline"/>
              </w:rPr>
              <w:t>Indenização Adicional</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 w:right="0"/>
              <w:jc w:val="center"/>
              <w:rPr>
                <w:position w:val="0"/>
                <w:sz w:val="24"/>
                <w:sz w:val="24"/>
                <w:vertAlign w:val="baseline"/>
              </w:rPr>
            </w:pPr>
            <w:r>
              <w:rPr>
                <w:rFonts w:eastAsia="Arial" w:cs="Arial" w:ascii="Arial" w:hAnsi="Arial"/>
                <w:position w:val="0"/>
                <w:sz w:val="20"/>
                <w:sz w:val="20"/>
                <w:szCs w:val="20"/>
                <w:highlight w:val="white"/>
                <w:vertAlign w:val="baseline"/>
              </w:rPr>
              <w:t>C</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27" w:right="0"/>
              <w:rPr>
                <w:position w:val="0"/>
                <w:sz w:val="24"/>
                <w:sz w:val="24"/>
                <w:vertAlign w:val="baseline"/>
              </w:rPr>
            </w:pPr>
            <w:r>
              <w:rPr>
                <w:rFonts w:eastAsia="Arial" w:cs="Arial" w:ascii="Arial" w:hAnsi="Arial"/>
                <w:position w:val="0"/>
                <w:sz w:val="20"/>
                <w:sz w:val="20"/>
                <w:szCs w:val="20"/>
                <w:highlight w:val="white"/>
                <w:vertAlign w:val="baseline"/>
              </w:rPr>
              <w:t>Total dos Encargos Sociais que não recebem incidência de A</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1" w:right="0"/>
              <w:jc w:val="center"/>
              <w:rPr>
                <w:position w:val="0"/>
                <w:sz w:val="24"/>
                <w:sz w:val="24"/>
                <w:vertAlign w:val="baseline"/>
              </w:rPr>
            </w:pPr>
            <w:r>
              <w:rPr>
                <w:rFonts w:eastAsia="Arial" w:cs="Arial" w:ascii="Arial" w:hAnsi="Arial"/>
                <w:position w:val="0"/>
                <w:sz w:val="20"/>
                <w:sz w:val="20"/>
                <w:szCs w:val="20"/>
                <w:highlight w:val="white"/>
                <w:vertAlign w:val="baseline"/>
              </w:rPr>
              <w:t>GRUPO D</w:t>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right="1"/>
              <w:jc w:val="center"/>
              <w:rPr>
                <w:position w:val="0"/>
                <w:sz w:val="24"/>
                <w:sz w:val="24"/>
                <w:vertAlign w:val="baseline"/>
              </w:rPr>
            </w:pPr>
            <w:r>
              <w:rPr>
                <w:rFonts w:eastAsia="Arial" w:cs="Arial" w:ascii="Arial" w:hAnsi="Arial"/>
                <w:position w:val="0"/>
                <w:sz w:val="20"/>
                <w:sz w:val="20"/>
                <w:szCs w:val="20"/>
                <w:highlight w:val="white"/>
                <w:vertAlign w:val="baseline"/>
              </w:rPr>
              <w:t>D1</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Reincidência do Grupo A sobre o Grupo B</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48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D2</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Reincidência do Grupo A sobre Aviso Prévio Trabalhado e Reincidência do FGTS sobre Aviso Prévio Indenizado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5"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D</w:t>
            </w:r>
          </w:p>
        </w:tc>
        <w:tc>
          <w:tcPr>
            <w:tcW w:w="612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284" w:right="0"/>
              <w:rPr>
                <w:position w:val="0"/>
                <w:sz w:val="24"/>
                <w:sz w:val="24"/>
                <w:vertAlign w:val="baseline"/>
              </w:rPr>
            </w:pPr>
            <w:r>
              <w:rPr>
                <w:rFonts w:eastAsia="Arial" w:cs="Arial" w:ascii="Arial" w:hAnsi="Arial"/>
                <w:position w:val="0"/>
                <w:sz w:val="20"/>
                <w:sz w:val="20"/>
                <w:szCs w:val="20"/>
                <w:highlight w:val="white"/>
                <w:vertAlign w:val="baseline"/>
              </w:rPr>
              <w:t>Total de Reincidências de um grupo sobre o outro</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7249" w:type="dxa"/>
            <w:gridSpan w:val="2"/>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1" w:right="1"/>
              <w:jc w:val="center"/>
              <w:rPr>
                <w:position w:val="0"/>
                <w:sz w:val="24"/>
                <w:sz w:val="24"/>
                <w:vertAlign w:val="baseline"/>
              </w:rPr>
            </w:pPr>
            <w:r>
              <w:rPr>
                <w:rFonts w:eastAsia="Arial" w:cs="Arial" w:ascii="Arial" w:hAnsi="Arial"/>
                <w:position w:val="0"/>
                <w:sz w:val="20"/>
                <w:sz w:val="20"/>
                <w:szCs w:val="20"/>
                <w:highlight w:val="white"/>
                <w:vertAlign w:val="baseline"/>
              </w:rPr>
              <w:t>TOTAL (A+B+C+D)</w:t>
            </w:r>
          </w:p>
        </w:tc>
        <w:tc>
          <w:tcPr>
            <w:tcW w:w="186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trPr>
        <w:tc>
          <w:tcPr>
            <w:tcW w:w="911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tbl>
      <w:tblPr>
        <w:tblStyle w:val="Table71"/>
        <w:tblW w:w="9116" w:type="dxa"/>
        <w:jc w:val="left"/>
        <w:tblInd w:w="-3" w:type="dxa"/>
        <w:tblLayout w:type="fixed"/>
        <w:tblCellMar>
          <w:top w:w="0" w:type="dxa"/>
          <w:left w:w="108" w:type="dxa"/>
          <w:bottom w:w="0" w:type="dxa"/>
          <w:right w:w="108" w:type="dxa"/>
        </w:tblCellMar>
        <w:tblLook w:val="0000"/>
      </w:tblPr>
      <w:tblGrid>
        <w:gridCol w:w="844"/>
        <w:gridCol w:w="1194"/>
        <w:gridCol w:w="849"/>
        <w:gridCol w:w="82"/>
        <w:gridCol w:w="2145"/>
        <w:gridCol w:w="697"/>
        <w:gridCol w:w="283"/>
        <w:gridCol w:w="83"/>
        <w:gridCol w:w="847"/>
        <w:gridCol w:w="363"/>
        <w:gridCol w:w="1728"/>
      </w:tblGrid>
      <w:tr>
        <w:trPr>
          <w:cantSplit w:val="true"/>
        </w:trPr>
        <w:tc>
          <w:tcPr>
            <w:tcW w:w="9115" w:type="dxa"/>
            <w:gridSpan w:val="11"/>
            <w:tcBorders/>
            <w:shd w:fill="auto" w:val="clear"/>
            <w:vAlign w:val="center"/>
          </w:tcPr>
          <w:p>
            <w:pPr>
              <w:pStyle w:val="Normal1"/>
              <w:pageBreakBefore/>
              <w:spacing w:lineRule="auto" w:line="240" w:before="0" w:after="0"/>
              <w:jc w:val="center"/>
              <w:rPr>
                <w:position w:val="0"/>
                <w:sz w:val="24"/>
                <w:sz w:val="24"/>
                <w:vertAlign w:val="baseline"/>
              </w:rPr>
            </w:pPr>
            <w:r>
              <w:rPr>
                <w:rFonts w:eastAsia="Arial" w:cs="Arial" w:ascii="Arial" w:hAnsi="Arial"/>
                <w:position w:val="0"/>
                <w:sz w:val="20"/>
                <w:sz w:val="20"/>
                <w:szCs w:val="20"/>
                <w:highlight w:val="white"/>
                <w:vertAlign w:val="baseline"/>
              </w:rPr>
              <w:t>ANEXO XI</w:t>
            </w:r>
          </w:p>
        </w:tc>
      </w:tr>
      <w:tr>
        <w:trPr>
          <w:cantSplit w:val="true"/>
        </w:trPr>
        <w:tc>
          <w:tcPr>
            <w:tcW w:w="9115" w:type="dxa"/>
            <w:gridSpan w:val="11"/>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MODELO DA PLANILHA PARA CÁLCULO DO BDI</w:t>
            </w:r>
          </w:p>
        </w:tc>
      </w:tr>
      <w:tr>
        <w:trPr>
          <w:cantSplit w:val="true"/>
        </w:trPr>
        <w:tc>
          <w:tcPr>
            <w:tcW w:w="9115" w:type="dxa"/>
            <w:gridSpan w:val="11"/>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5" w:type="dxa"/>
            <w:gridSpan w:val="11"/>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À</w:t>
            </w:r>
          </w:p>
        </w:tc>
      </w:tr>
      <w:tr>
        <w:trPr>
          <w:cantSplit w:val="true"/>
        </w:trPr>
        <w:tc>
          <w:tcPr>
            <w:tcW w:w="9115" w:type="dxa"/>
            <w:gridSpan w:val="11"/>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(Nome do órgão/entidade licitante)</w:t>
            </w:r>
          </w:p>
        </w:tc>
      </w:tr>
      <w:tr>
        <w:trPr>
          <w:cantSplit w:val="true"/>
        </w:trPr>
        <w:tc>
          <w:tcPr>
            <w:tcW w:w="9115" w:type="dxa"/>
            <w:gridSpan w:val="11"/>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Referência: Pregão Eletrônico n.º ____/201_ GMS</w:t>
            </w:r>
          </w:p>
        </w:tc>
      </w:tr>
      <w:tr>
        <w:trPr>
          <w:cantSplit w:val="true"/>
        </w:trPr>
        <w:tc>
          <w:tcPr>
            <w:tcW w:w="9115" w:type="dxa"/>
            <w:gridSpan w:val="11"/>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Objeto: __________________________________________________________________________</w:t>
            </w:r>
          </w:p>
        </w:tc>
      </w:tr>
      <w:tr>
        <w:trPr>
          <w:cantSplit w:val="true"/>
        </w:trPr>
        <w:tc>
          <w:tcPr>
            <w:tcW w:w="9115" w:type="dxa"/>
            <w:gridSpan w:val="11"/>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14" w:type="dxa"/>
            <w:gridSpan w:val="5"/>
            <w:tcBorders>
              <w:top w:val="single" w:sz="4" w:space="0" w:color="000080"/>
              <w:left w:val="single" w:sz="4" w:space="0" w:color="000080"/>
            </w:tcBorders>
            <w:shd w:fill="auto" w:val="clear"/>
          </w:tcPr>
          <w:p>
            <w:pPr>
              <w:pStyle w:val="Normal1"/>
              <w:widowControl w:val="false"/>
              <w:spacing w:lineRule="auto" w:line="240" w:before="57" w:after="0"/>
              <w:ind w:right="57"/>
              <w:jc w:val="right"/>
              <w:rPr>
                <w:position w:val="0"/>
                <w:sz w:val="24"/>
                <w:sz w:val="24"/>
                <w:vertAlign w:val="baseline"/>
              </w:rPr>
            </w:pPr>
            <w:r>
              <w:rPr>
                <w:rFonts w:eastAsia="Arial" w:cs="Arial" w:ascii="Arial" w:hAnsi="Arial"/>
                <w:position w:val="0"/>
                <w:sz w:val="20"/>
                <w:sz w:val="20"/>
                <w:szCs w:val="20"/>
                <w:highlight w:val="white"/>
                <w:vertAlign w:val="baseline"/>
              </w:rPr>
              <w:t>CUSTO TOTAL DO SERVIÇO (R$):</w:t>
            </w:r>
          </w:p>
        </w:tc>
        <w:tc>
          <w:tcPr>
            <w:tcW w:w="4001" w:type="dxa"/>
            <w:gridSpan w:val="6"/>
            <w:tcBorders>
              <w:top w:val="single" w:sz="4" w:space="0" w:color="000080"/>
              <w:left w:val="single" w:sz="4" w:space="0" w:color="000080"/>
              <w:right w:val="single" w:sz="4" w:space="0" w:color="000080"/>
            </w:tcBorders>
            <w:shd w:fill="auto" w:val="clea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4" w:type="dxa"/>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ITEM</w:t>
            </w:r>
          </w:p>
        </w:tc>
        <w:tc>
          <w:tcPr>
            <w:tcW w:w="4270" w:type="dxa"/>
            <w:gridSpan w:val="4"/>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DISCRIMINAÇÃO</w:t>
            </w:r>
          </w:p>
        </w:tc>
        <w:tc>
          <w:tcPr>
            <w:tcW w:w="2273" w:type="dxa"/>
            <w:gridSpan w:val="5"/>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VALOR (R$)</w:t>
            </w:r>
          </w:p>
        </w:tc>
        <w:tc>
          <w:tcPr>
            <w:tcW w:w="1728" w:type="dxa"/>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TAXA (%)</w:t>
            </w:r>
          </w:p>
        </w:tc>
      </w:tr>
      <w:tr>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1</w:t>
            </w:r>
          </w:p>
        </w:tc>
        <w:tc>
          <w:tcPr>
            <w:tcW w:w="4270"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AC – ADMINISTRAÇÃO CENTRAL</w:t>
            </w:r>
          </w:p>
        </w:tc>
        <w:tc>
          <w:tcPr>
            <w:tcW w:w="2273"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2</w:t>
            </w:r>
          </w:p>
        </w:tc>
        <w:tc>
          <w:tcPr>
            <w:tcW w:w="4270"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SG – SEGUROS + GARANTIA</w:t>
            </w:r>
          </w:p>
        </w:tc>
        <w:tc>
          <w:tcPr>
            <w:tcW w:w="2273"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3</w:t>
            </w:r>
          </w:p>
        </w:tc>
        <w:tc>
          <w:tcPr>
            <w:tcW w:w="4270"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R – RISCOS</w:t>
            </w:r>
          </w:p>
        </w:tc>
        <w:tc>
          <w:tcPr>
            <w:tcW w:w="2273"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4</w:t>
            </w:r>
          </w:p>
        </w:tc>
        <w:tc>
          <w:tcPr>
            <w:tcW w:w="4270"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DF – DESPESAS FINANCEIRAS</w:t>
            </w:r>
          </w:p>
        </w:tc>
        <w:tc>
          <w:tcPr>
            <w:tcW w:w="2273"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5</w:t>
            </w:r>
          </w:p>
        </w:tc>
        <w:tc>
          <w:tcPr>
            <w:tcW w:w="4270"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L – LUCRO BRUTO</w:t>
            </w:r>
          </w:p>
        </w:tc>
        <w:tc>
          <w:tcPr>
            <w:tcW w:w="2273"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6</w:t>
            </w:r>
          </w:p>
        </w:tc>
        <w:tc>
          <w:tcPr>
            <w:tcW w:w="4270" w:type="dxa"/>
            <w:gridSpan w:val="4"/>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I – IMPOSTOS</w:t>
            </w:r>
          </w:p>
        </w:tc>
        <w:tc>
          <w:tcPr>
            <w:tcW w:w="2273"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ind w:hanging="0" w:left="57" w:right="0"/>
              <w:jc w:val="center"/>
              <w:rPr>
                <w:position w:val="0"/>
                <w:sz w:val="24"/>
                <w:sz w:val="24"/>
                <w:vertAlign w:val="baseline"/>
              </w:rPr>
            </w:pPr>
            <w:r>
              <w:rPr>
                <w:rFonts w:eastAsia="Arial" w:cs="Arial" w:ascii="Arial" w:hAnsi="Arial"/>
                <w:position w:val="0"/>
                <w:sz w:val="20"/>
                <w:sz w:val="20"/>
                <w:szCs w:val="20"/>
                <w:highlight w:val="white"/>
                <w:vertAlign w:val="baseline"/>
              </w:rPr>
              <w:t>0,00%</w:t>
            </w:r>
          </w:p>
        </w:tc>
      </w:tr>
      <w:tr>
        <w:trPr>
          <w:cantSplit w:val="true"/>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6.1</w:t>
            </w:r>
          </w:p>
        </w:tc>
        <w:tc>
          <w:tcPr>
            <w:tcW w:w="6543"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PIS</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6.2</w:t>
            </w:r>
          </w:p>
        </w:tc>
        <w:tc>
          <w:tcPr>
            <w:tcW w:w="6543"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COFINS</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6.3</w:t>
            </w:r>
          </w:p>
        </w:tc>
        <w:tc>
          <w:tcPr>
            <w:tcW w:w="6543"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ISS (</w:t>
            </w:r>
            <w:r>
              <w:rPr>
                <w:rFonts w:eastAsia="Arial" w:cs="Arial" w:ascii="Arial" w:hAnsi="Arial"/>
                <w:color w:val="FF0000"/>
                <w:position w:val="0"/>
                <w:sz w:val="20"/>
                <w:sz w:val="20"/>
                <w:szCs w:val="20"/>
                <w:highlight w:val="white"/>
                <w:vertAlign w:val="baseline"/>
              </w:rPr>
              <w:t>CONFORME LEGISLAÇÃO MUNICIPAL</w:t>
            </w:r>
            <w:r>
              <w:rPr>
                <w:rFonts w:eastAsia="Arial" w:cs="Arial" w:ascii="Arial" w:hAnsi="Arial"/>
                <w:position w:val="0"/>
                <w:sz w:val="20"/>
                <w:sz w:val="20"/>
                <w:szCs w:val="20"/>
                <w:highlight w:val="white"/>
                <w:vertAlign w:val="baseline"/>
              </w:rPr>
              <w:t>)</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4" w:type="dxa"/>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6.4</w:t>
            </w:r>
          </w:p>
        </w:tc>
        <w:tc>
          <w:tcPr>
            <w:tcW w:w="6543"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CONTRIB. PREV. SOBRE REC. BRUTA – CPRB</w:t>
            </w:r>
          </w:p>
        </w:tc>
        <w:tc>
          <w:tcPr>
            <w:tcW w:w="172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14" w:type="dxa"/>
            <w:gridSpan w:val="5"/>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TOTAL DO BDI (R$)</w:t>
            </w:r>
          </w:p>
        </w:tc>
        <w:tc>
          <w:tcPr>
            <w:tcW w:w="2273" w:type="dxa"/>
            <w:gridSpan w:val="5"/>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14" w:type="dxa"/>
            <w:gridSpan w:val="5"/>
            <w:tcBorders>
              <w:top w:val="single" w:sz="4" w:space="0" w:color="000080"/>
              <w:left w:val="single" w:sz="4" w:space="0" w:color="000080"/>
            </w:tcBorders>
            <w:shd w:fill="auto" w:val="clea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PREÇO DE VENDA (R$)</w:t>
            </w:r>
          </w:p>
        </w:tc>
        <w:tc>
          <w:tcPr>
            <w:tcW w:w="2273" w:type="dxa"/>
            <w:gridSpan w:val="5"/>
            <w:tcBorders>
              <w:top w:val="single" w:sz="4" w:space="0" w:color="000080"/>
              <w:left w:val="single" w:sz="4" w:space="0" w:color="000080"/>
            </w:tcBorders>
            <w:shd w:fill="auto" w:val="clea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R$</w:t>
            </w:r>
          </w:p>
        </w:tc>
        <w:tc>
          <w:tcPr>
            <w:tcW w:w="1728" w:type="dxa"/>
            <w:tcBorders>
              <w:top w:val="single" w:sz="4" w:space="0" w:color="000080"/>
              <w:left w:val="single" w:sz="4" w:space="0" w:color="000080"/>
              <w:right w:val="single" w:sz="4" w:space="0" w:color="000080"/>
            </w:tcBorders>
            <w:shd w:fill="auto" w:val="clea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7387" w:type="dxa"/>
            <w:gridSpan w:val="10"/>
            <w:tcBorders>
              <w:top w:val="single" w:sz="4" w:space="0" w:color="000080"/>
              <w:left w:val="single" w:sz="4" w:space="0" w:color="000080"/>
              <w:bottom w:val="single" w:sz="4" w:space="0" w:color="000080"/>
            </w:tcBorders>
            <w:shd w:fill="auto" w:val="clear"/>
          </w:tcPr>
          <w:p>
            <w:pPr>
              <w:pStyle w:val="Normal1"/>
              <w:widowControl w:val="false"/>
              <w:spacing w:lineRule="auto" w:line="240" w:before="57" w:after="0"/>
              <w:ind w:hanging="0" w:left="57" w:right="0"/>
              <w:jc w:val="both"/>
              <w:rPr>
                <w:position w:val="0"/>
                <w:sz w:val="24"/>
                <w:sz w:val="24"/>
                <w:vertAlign w:val="baseline"/>
              </w:rPr>
            </w:pPr>
            <w:r>
              <w:rPr>
                <w:rFonts w:eastAsia="Arial" w:cs="Arial" w:ascii="Arial" w:hAnsi="Arial"/>
                <w:position w:val="0"/>
                <w:sz w:val="20"/>
                <w:sz w:val="20"/>
                <w:szCs w:val="20"/>
                <w:highlight w:val="white"/>
                <w:vertAlign w:val="baseline"/>
              </w:rPr>
              <w:t>BDI (%)</w:t>
            </w:r>
          </w:p>
        </w:tc>
        <w:tc>
          <w:tcPr>
            <w:tcW w:w="1728"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pacing w:lineRule="auto" w:line="240" w:before="57" w:after="0"/>
              <w:ind w:hanging="0" w:left="57" w:right="0"/>
              <w:jc w:val="center"/>
              <w:rPr>
                <w:position w:val="0"/>
                <w:sz w:val="24"/>
                <w:sz w:val="24"/>
                <w:vertAlign w:val="baseline"/>
              </w:rPr>
            </w:pPr>
            <w:r>
              <w:rPr>
                <w:rFonts w:eastAsia="Arial" w:cs="Arial" w:ascii="Arial" w:hAnsi="Arial"/>
                <w:position w:val="0"/>
                <w:sz w:val="20"/>
                <w:sz w:val="20"/>
                <w:szCs w:val="20"/>
                <w:highlight w:val="white"/>
                <w:vertAlign w:val="baseline"/>
              </w:rPr>
              <w:t>0,00%</w:t>
            </w:r>
          </w:p>
        </w:tc>
      </w:tr>
      <w:tr>
        <w:trPr>
          <w:cantSplit w:val="true"/>
        </w:trPr>
        <w:tc>
          <w:tcPr>
            <w:tcW w:w="9115" w:type="dxa"/>
            <w:gridSpan w:val="11"/>
            <w:tcBorders>
              <w:top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5" w:type="dxa"/>
            <w:gridSpan w:val="11"/>
            <w:tcBorders>
              <w:left w:val="single" w:sz="4" w:space="0" w:color="000080"/>
              <w:right w:val="single" w:sz="4" w:space="0" w:color="000080"/>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Equação</w:t>
            </w:r>
          </w:p>
        </w:tc>
      </w:tr>
      <w:tr>
        <w:trPr>
          <w:cantSplit w:val="true"/>
        </w:trPr>
        <w:tc>
          <w:tcPr>
            <w:tcW w:w="9115" w:type="dxa"/>
            <w:gridSpan w:val="11"/>
            <w:tcBorders>
              <w:top w:val="single" w:sz="4" w:space="0" w:color="000080"/>
              <w:bottom w:val="single" w:sz="4" w:space="0" w:color="000080"/>
            </w:tcBorders>
            <w:shd w:fill="auto" w:val="clear"/>
            <w:vAlign w:val="center"/>
          </w:tcPr>
          <w:p>
            <w:pPr>
              <w:pStyle w:val="Normal1"/>
              <w:widowControl w:val="false"/>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5" w:type="dxa"/>
            <w:gridSpan w:val="11"/>
            <w:tcBorders>
              <w:left w:val="single" w:sz="4" w:space="0" w:color="000080"/>
              <w:right w:val="single" w:sz="4" w:space="0" w:color="000080"/>
            </w:tcBorders>
            <w:shd w:fill="auto" w:val="clear"/>
            <w:vAlign w:val="center"/>
          </w:tcPr>
          <w:p>
            <w:pPr>
              <w:pStyle w:val="Normal1"/>
              <w:widowControl w:val="false"/>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0" w:hRule="atLeast"/>
          <w:cantSplit w:val="true"/>
        </w:trPr>
        <w:tc>
          <w:tcPr>
            <w:tcW w:w="2038" w:type="dxa"/>
            <w:gridSpan w:val="2"/>
            <w:vMerge w:val="restart"/>
            <w:tcBorders>
              <w:left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49" w:type="dxa"/>
            <w:vMerge w:val="restart"/>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BDI =</w:t>
            </w:r>
          </w:p>
        </w:tc>
        <w:tc>
          <w:tcPr>
            <w:tcW w:w="82"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842" w:type="dxa"/>
            <w:gridSpan w:val="2"/>
            <w:tcBorders>
              <w:top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(1+AC+S+R+G)*(1+DF)*(1+L)</w:t>
            </w:r>
          </w:p>
        </w:tc>
        <w:tc>
          <w:tcPr>
            <w:tcW w:w="283" w:type="dxa"/>
            <w:vMerge w:val="restart"/>
            <w:tcBorders/>
            <w:shd w:fill="auto" w:val="clear"/>
            <w:vAlign w:val="center"/>
          </w:tcPr>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 xml:space="preserve"> </w:t>
            </w:r>
            <w:r>
              <w:rPr>
                <w:rFonts w:eastAsia="Arial" w:cs="Arial" w:ascii="Arial" w:hAnsi="Arial"/>
                <w:position w:val="0"/>
                <w:sz w:val="20"/>
                <w:sz w:val="20"/>
                <w:szCs w:val="20"/>
                <w:highlight w:val="white"/>
                <w:vertAlign w:val="baseline"/>
              </w:rPr>
              <w:t>-1</w:t>
            </w:r>
          </w:p>
        </w:tc>
        <w:tc>
          <w:tcPr>
            <w:tcW w:w="83"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47" w:type="dxa"/>
            <w:vMerge w:val="restart"/>
            <w:tcBorders>
              <w:left w:val="single" w:sz="4" w:space="0" w:color="000080"/>
            </w:tcBorders>
            <w:shd w:fill="auto" w:val="clear"/>
            <w:vAlign w:val="center"/>
          </w:tcPr>
          <w:p>
            <w:pPr>
              <w:pStyle w:val="Normal1"/>
              <w:widowControl w:val="false"/>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X 100</w:t>
            </w:r>
          </w:p>
        </w:tc>
        <w:tc>
          <w:tcPr>
            <w:tcW w:w="2091" w:type="dxa"/>
            <w:gridSpan w:val="2"/>
            <w:vMerge w:val="restart"/>
            <w:tcBorders>
              <w:left w:val="single" w:sz="4" w:space="0" w:color="000080"/>
              <w:right w:val="single" w:sz="4" w:space="0" w:color="000080"/>
            </w:tcBorders>
            <w:shd w:fill="auto" w:val="clear"/>
            <w:vAlign w:val="center"/>
          </w:tcPr>
          <w:p>
            <w:pPr>
              <w:pStyle w:val="Normal1"/>
              <w:widowControl w:val="false"/>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19" w:hRule="atLeast"/>
          <w:cantSplit w:val="true"/>
        </w:trPr>
        <w:tc>
          <w:tcPr>
            <w:tcW w:w="2038" w:type="dxa"/>
            <w:gridSpan w:val="2"/>
            <w:vMerge w:val="continue"/>
            <w:tcBorders>
              <w:lef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2"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842" w:type="dxa"/>
            <w:gridSpan w:val="2"/>
            <w:tcBorders>
              <w:top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(1-I)</w:t>
            </w:r>
          </w:p>
        </w:tc>
        <w:tc>
          <w:tcPr>
            <w:tcW w:w="283"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83"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847" w:type="dxa"/>
            <w:vMerge w:val="continue"/>
            <w:tcBorders>
              <w:lef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2091" w:type="dxa"/>
            <w:gridSpan w:val="2"/>
            <w:vMerge w:val="continue"/>
            <w:tcBorders>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r>
      <w:tr>
        <w:trPr>
          <w:cantSplit w:val="true"/>
        </w:trPr>
        <w:tc>
          <w:tcPr>
            <w:tcW w:w="9115" w:type="dxa"/>
            <w:gridSpan w:val="11"/>
            <w:tcBorders>
              <w:left w:val="single" w:sz="4" w:space="0" w:color="000080"/>
              <w:right w:val="single" w:sz="4" w:space="0" w:color="000080"/>
            </w:tcBorders>
            <w:shd w:fill="auto" w:val="clear"/>
            <w:vAlign w:val="center"/>
          </w:tcPr>
          <w:p>
            <w:pPr>
              <w:pStyle w:val="Normal1"/>
              <w:widowControl w:val="false"/>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115" w:type="dxa"/>
            <w:gridSpan w:val="11"/>
            <w:tcBorders>
              <w:top w:val="single" w:sz="4" w:space="0" w:color="000080"/>
            </w:tcBorders>
            <w:shd w:fill="auto" w:val="clear"/>
            <w:vAlign w:val="center"/>
          </w:tcPr>
          <w:p>
            <w:pPr>
              <w:pStyle w:val="Normal1"/>
              <w:widowControl w:val="false"/>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6" w:hRule="atLeast"/>
          <w:cantSplit w:val="true"/>
        </w:trPr>
        <w:tc>
          <w:tcPr>
            <w:tcW w:w="844" w:type="dxa"/>
            <w:tcBorders>
              <w:top w:val="single" w:sz="4" w:space="0" w:color="000080"/>
              <w:lef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Onde:</w:t>
            </w:r>
          </w:p>
        </w:tc>
        <w:tc>
          <w:tcPr>
            <w:tcW w:w="8271" w:type="dxa"/>
            <w:gridSpan w:val="10"/>
            <w:tcBorders>
              <w:top w:val="single" w:sz="4" w:space="0" w:color="000080"/>
              <w:left w:val="single" w:sz="4" w:space="0" w:color="000080"/>
              <w:right w:val="single" w:sz="4" w:space="0" w:color="000080"/>
            </w:tcBorders>
            <w:shd w:fill="auto" w:val="clear"/>
            <w:vAlign w:val="center"/>
          </w:tcPr>
          <w:p>
            <w:pPr>
              <w:pStyle w:val="Normal1"/>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3" w:hRule="atLeast"/>
          <w:cantSplit w:val="true"/>
        </w:trPr>
        <w:tc>
          <w:tcPr>
            <w:tcW w:w="844" w:type="dxa"/>
            <w:tcBorders>
              <w:left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AC:</w:t>
            </w:r>
          </w:p>
        </w:tc>
        <w:tc>
          <w:tcPr>
            <w:tcW w:w="8271"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administração central;</w:t>
            </w:r>
          </w:p>
        </w:tc>
      </w:tr>
      <w:tr>
        <w:trPr>
          <w:trHeight w:val="323" w:hRule="atLeast"/>
          <w:cantSplit w:val="true"/>
        </w:trPr>
        <w:tc>
          <w:tcPr>
            <w:tcW w:w="844" w:type="dxa"/>
            <w:tcBorders>
              <w:left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S:</w:t>
            </w:r>
          </w:p>
        </w:tc>
        <w:tc>
          <w:tcPr>
            <w:tcW w:w="8271"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seguros;</w:t>
            </w:r>
          </w:p>
        </w:tc>
      </w:tr>
      <w:tr>
        <w:trPr>
          <w:trHeight w:val="323" w:hRule="atLeast"/>
          <w:cantSplit w:val="true"/>
        </w:trPr>
        <w:tc>
          <w:tcPr>
            <w:tcW w:w="844" w:type="dxa"/>
            <w:tcBorders>
              <w:left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G:</w:t>
            </w:r>
          </w:p>
        </w:tc>
        <w:tc>
          <w:tcPr>
            <w:tcW w:w="8271"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garantias;</w:t>
            </w:r>
          </w:p>
        </w:tc>
      </w:tr>
      <w:tr>
        <w:trPr>
          <w:trHeight w:val="323" w:hRule="atLeast"/>
          <w:cantSplit w:val="true"/>
        </w:trPr>
        <w:tc>
          <w:tcPr>
            <w:tcW w:w="844" w:type="dxa"/>
            <w:tcBorders>
              <w:left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R:</w:t>
            </w:r>
          </w:p>
        </w:tc>
        <w:tc>
          <w:tcPr>
            <w:tcW w:w="8271"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riscos;</w:t>
            </w:r>
          </w:p>
        </w:tc>
      </w:tr>
      <w:tr>
        <w:trPr>
          <w:trHeight w:val="323" w:hRule="atLeast"/>
          <w:cantSplit w:val="true"/>
        </w:trPr>
        <w:tc>
          <w:tcPr>
            <w:tcW w:w="844" w:type="dxa"/>
            <w:tcBorders>
              <w:left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DF:</w:t>
            </w:r>
          </w:p>
        </w:tc>
        <w:tc>
          <w:tcPr>
            <w:tcW w:w="8271"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despesas financeiras;</w:t>
            </w:r>
          </w:p>
        </w:tc>
      </w:tr>
      <w:tr>
        <w:trPr>
          <w:trHeight w:val="323" w:hRule="atLeast"/>
          <w:cantSplit w:val="true"/>
        </w:trPr>
        <w:tc>
          <w:tcPr>
            <w:tcW w:w="844" w:type="dxa"/>
            <w:tcBorders>
              <w:left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L:</w:t>
            </w:r>
          </w:p>
        </w:tc>
        <w:tc>
          <w:tcPr>
            <w:tcW w:w="8271" w:type="dxa"/>
            <w:gridSpan w:val="10"/>
            <w:tcBorders>
              <w:left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lucro/remuneração;</w:t>
            </w:r>
          </w:p>
        </w:tc>
      </w:tr>
      <w:tr>
        <w:trPr>
          <w:trHeight w:val="323" w:hRule="atLeast"/>
          <w:cantSplit w:val="true"/>
        </w:trPr>
        <w:tc>
          <w:tcPr>
            <w:tcW w:w="844" w:type="dxa"/>
            <w:tcBorders>
              <w:top w:val="single" w:sz="4" w:space="0" w:color="000080"/>
              <w:left w:val="single" w:sz="4" w:space="0" w:color="000080"/>
              <w:bottom w:val="single" w:sz="4" w:space="0" w:color="000080"/>
            </w:tcBorders>
            <w:shd w:fill="auto" w:val="clear"/>
            <w:vAlign w:val="center"/>
          </w:tcPr>
          <w:p>
            <w:pPr>
              <w:pStyle w:val="Normal1"/>
              <w:spacing w:lineRule="auto" w:line="240" w:before="57" w:after="0"/>
              <w:ind w:hanging="0" w:left="57" w:right="0"/>
              <w:jc w:val="right"/>
              <w:rPr>
                <w:position w:val="0"/>
                <w:sz w:val="24"/>
                <w:sz w:val="24"/>
                <w:vertAlign w:val="baseline"/>
              </w:rPr>
            </w:pPr>
            <w:r>
              <w:rPr>
                <w:rFonts w:eastAsia="Arial" w:cs="Arial" w:ascii="Arial" w:hAnsi="Arial"/>
                <w:position w:val="0"/>
                <w:sz w:val="20"/>
                <w:sz w:val="20"/>
                <w:szCs w:val="20"/>
                <w:highlight w:val="white"/>
                <w:vertAlign w:val="baseline"/>
              </w:rPr>
              <w:t>I:</w:t>
            </w:r>
          </w:p>
        </w:tc>
        <w:tc>
          <w:tcPr>
            <w:tcW w:w="8271" w:type="dxa"/>
            <w:gridSpan w:val="10"/>
            <w:tcBorders>
              <w:top w:val="single" w:sz="4" w:space="0" w:color="000080"/>
              <w:left w:val="single" w:sz="4" w:space="0" w:color="000080"/>
              <w:bottom w:val="single" w:sz="4" w:space="0" w:color="000080"/>
              <w:right w:val="single" w:sz="4" w:space="0" w:color="000080"/>
            </w:tcBorders>
            <w:shd w:fill="auto" w:val="clear"/>
            <w:vAlign w:val="center"/>
          </w:tcPr>
          <w:p>
            <w:pPr>
              <w:pStyle w:val="Normal1"/>
              <w:spacing w:lineRule="auto" w:line="240" w:before="57" w:after="0"/>
              <w:ind w:hanging="0" w:left="57" w:right="0"/>
              <w:rPr>
                <w:position w:val="0"/>
                <w:sz w:val="24"/>
                <w:sz w:val="24"/>
                <w:vertAlign w:val="baseline"/>
              </w:rPr>
            </w:pPr>
            <w:r>
              <w:rPr>
                <w:rFonts w:eastAsia="Arial" w:cs="Arial" w:ascii="Arial" w:hAnsi="Arial"/>
                <w:position w:val="0"/>
                <w:sz w:val="20"/>
                <w:sz w:val="20"/>
                <w:szCs w:val="20"/>
                <w:highlight w:val="white"/>
                <w:vertAlign w:val="baseline"/>
              </w:rPr>
              <w:t>taxa de incidência de impostos (PIS, COFINS, ISS, CPRB).</w:t>
            </w:r>
          </w:p>
        </w:tc>
      </w:tr>
      <w:tr>
        <w:trPr>
          <w:cantSplit w:val="true"/>
        </w:trPr>
        <w:tc>
          <w:tcPr>
            <w:tcW w:w="9115" w:type="dxa"/>
            <w:gridSpan w:val="11"/>
            <w:tcBorders>
              <w:top w:val="single" w:sz="4" w:space="0" w:color="000080"/>
            </w:tcBorders>
            <w:shd w:fill="auto" w:val="clear"/>
            <w:vAlign w:val="center"/>
          </w:tcPr>
          <w:p>
            <w:pPr>
              <w:pStyle w:val="Normal1"/>
              <w:widowControl w:val="false"/>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tbl>
      <w:tblPr>
        <w:tblStyle w:val="Table72"/>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ANEXO XII</w:t>
            </w:r>
          </w:p>
        </w:tc>
      </w:tr>
      <w:tr>
        <w:trPr>
          <w:cantSplit w:val="true"/>
        </w:trPr>
        <w:tc>
          <w:tcPr>
            <w:tcW w:w="9072" w:type="dxa"/>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PLANILHA(S) DO BDI REFERENCIAL</w:t>
            </w:r>
          </w:p>
        </w:tc>
      </w:tr>
      <w:tr>
        <w:trPr>
          <w:cantSplit w:val="true"/>
        </w:trPr>
        <w:tc>
          <w:tcPr>
            <w:tcW w:w="9072" w:type="dxa"/>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Arquivo anexado no site de licitações do sistema adotado para a licitação:</w:t>
            </w:r>
            <w:r>
              <w:rPr>
                <w:rFonts w:eastAsia="Arial" w:cs="Arial" w:ascii="Arial" w:hAnsi="Arial"/>
                <w:position w:val="0"/>
                <w:sz w:val="20"/>
                <w:sz w:val="20"/>
                <w:szCs w:val="20"/>
                <w:vertAlign w:val="baseline"/>
              </w:rPr>
              <w:t xml:space="preserve"> </w:t>
            </w:r>
            <w:r>
              <w:rPr>
                <w:rFonts w:eastAsia="Arial" w:cs="Arial" w:ascii="Arial" w:hAnsi="Arial"/>
                <w:color w:val="000000"/>
                <w:position w:val="0"/>
                <w:sz w:val="20"/>
                <w:sz w:val="20"/>
                <w:szCs w:val="20"/>
                <w:u w:val="none"/>
                <w:vertAlign w:val="baseline"/>
              </w:rPr>
              <w:t>inserir link de acesso</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(Entrar com a Pesquisa avançada)</w:t>
            </w:r>
          </w:p>
        </w:tc>
      </w:tr>
      <w:tr>
        <w:trPr>
          <w:cantSplit w:val="true"/>
        </w:trPr>
        <w:tc>
          <w:tcPr>
            <w:tcW w:w="9072" w:type="dxa"/>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OU</w:t>
            </w:r>
          </w:p>
        </w:tc>
      </w:tr>
      <w:tr>
        <w:trPr>
          <w:cantSplit w:val="true"/>
        </w:trPr>
        <w:tc>
          <w:tcPr>
            <w:tcW w:w="9072" w:type="dxa"/>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 xml:space="preserve">Arquivo anexado no site do órgão/entidade licitante: </w:t>
            </w:r>
            <w:r>
              <w:rPr>
                <w:rFonts w:eastAsia="Arial" w:cs="Arial" w:ascii="Arial" w:hAnsi="Arial"/>
                <w:color w:val="000000"/>
                <w:position w:val="0"/>
                <w:sz w:val="20"/>
                <w:sz w:val="20"/>
                <w:szCs w:val="20"/>
                <w:u w:val="none"/>
                <w:vertAlign w:val="baseline"/>
              </w:rPr>
              <w:t>inserir link de acesso</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(Entrar na pasta “Pregão Eletrônico” e escolher esta licitação)</w:t>
            </w:r>
          </w:p>
        </w:tc>
      </w:tr>
    </w:tbl>
    <w:p>
      <w:pPr>
        <w:pStyle w:val="Normal1"/>
        <w:tabs>
          <w:tab w:val="clear" w:pos="720"/>
          <w:tab w:val="left" w:pos="993" w:leader="none"/>
          <w:tab w:val="center" w:pos="4252" w:leader="none"/>
          <w:tab w:val="right" w:pos="8504" w:leader="none"/>
        </w:tabs>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57"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tbl>
      <w:tblPr>
        <w:tblStyle w:val="Table73"/>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ANEXO XIII</w:t>
            </w:r>
          </w:p>
        </w:tc>
      </w:tr>
      <w:tr>
        <w:trPr>
          <w:cantSplit w:val="true"/>
        </w:trPr>
        <w:tc>
          <w:tcPr>
            <w:tcW w:w="9072" w:type="dxa"/>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PLANILHA(S) ORÇAMENTÁRIA(S) DE REFERÊNCIA</w:t>
            </w:r>
          </w:p>
        </w:tc>
      </w:tr>
      <w:tr>
        <w:trPr>
          <w:cantSplit w:val="true"/>
        </w:trPr>
        <w:tc>
          <w:tcPr>
            <w:tcW w:w="9072" w:type="dxa"/>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 xml:space="preserve">Arquivo anexado no site de licitações do </w:t>
            </w:r>
            <w:r>
              <w:rPr>
                <w:rFonts w:eastAsia="Arial" w:cs="Arial" w:ascii="Arial" w:hAnsi="Arial"/>
                <w:color w:val="000000"/>
                <w:position w:val="0"/>
                <w:sz w:val="20"/>
                <w:sz w:val="20"/>
                <w:szCs w:val="20"/>
                <w:highlight w:val="white"/>
                <w:u w:val="none"/>
                <w:vertAlign w:val="baseline"/>
              </w:rPr>
              <w:t>sistema adotado para a licitação:</w:t>
            </w:r>
            <w:r>
              <w:rPr>
                <w:rFonts w:eastAsia="Arial" w:cs="Arial" w:ascii="Arial" w:hAnsi="Arial"/>
                <w:color w:val="000080"/>
                <w:position w:val="0"/>
                <w:sz w:val="20"/>
                <w:sz w:val="20"/>
                <w:szCs w:val="20"/>
                <w:highlight w:val="white"/>
                <w:u w:val="none"/>
                <w:vertAlign w:val="baseline"/>
              </w:rPr>
              <w:t xml:space="preserve"> </w:t>
            </w:r>
            <w:r>
              <w:rPr>
                <w:rFonts w:eastAsia="Arial" w:cs="Arial" w:ascii="Arial" w:hAnsi="Arial"/>
                <w:color w:val="000000"/>
                <w:position w:val="0"/>
                <w:sz w:val="20"/>
                <w:sz w:val="20"/>
                <w:szCs w:val="20"/>
                <w:u w:val="none"/>
                <w:vertAlign w:val="baseline"/>
              </w:rPr>
              <w:t>inserir link de acesso</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(Entrar com a Pesquisa avançada)</w:t>
            </w:r>
          </w:p>
        </w:tc>
      </w:tr>
      <w:tr>
        <w:trPr>
          <w:cantSplit w:val="true"/>
        </w:trPr>
        <w:tc>
          <w:tcPr>
            <w:tcW w:w="9072" w:type="dxa"/>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OU</w:t>
            </w:r>
          </w:p>
        </w:tc>
      </w:tr>
      <w:tr>
        <w:trPr>
          <w:cantSplit w:val="true"/>
        </w:trPr>
        <w:tc>
          <w:tcPr>
            <w:tcW w:w="9072" w:type="dxa"/>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 xml:space="preserve">Arquivo anexado no site do </w:t>
            </w:r>
            <w:r>
              <w:rPr>
                <w:rFonts w:eastAsia="Arial" w:cs="Arial" w:ascii="Arial" w:hAnsi="Arial"/>
                <w:color w:val="000000"/>
                <w:position w:val="0"/>
                <w:sz w:val="20"/>
                <w:sz w:val="20"/>
                <w:szCs w:val="20"/>
                <w:u w:val="none"/>
                <w:vertAlign w:val="baseline"/>
              </w:rPr>
              <w:t>órgão/entidade licitante: Inserir link de acesso</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(Entrar na pasta “Pregão Eletrônico” e escolher esta licitação)</w:t>
            </w:r>
          </w:p>
        </w:tc>
      </w:tr>
    </w:tbl>
    <w:p>
      <w:pPr>
        <w:pStyle w:val="Normal1"/>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Style w:val="Table74"/>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ANEXO XIV</w:t>
            </w:r>
          </w:p>
        </w:tc>
      </w:tr>
      <w:tr>
        <w:trPr>
          <w:cantSplit w:val="true"/>
        </w:trPr>
        <w:tc>
          <w:tcPr>
            <w:tcW w:w="9072" w:type="dxa"/>
            <w:tcBorders/>
            <w:shd w:fill="auto" w:val="clear"/>
            <w:vAlign w:val="cente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ELEMENTO(S) TÉCNICO(S) INSTRUTOR(ES)</w:t>
            </w:r>
          </w:p>
        </w:tc>
      </w:tr>
      <w:tr>
        <w:trPr>
          <w:cantSplit w:val="true"/>
        </w:trPr>
        <w:tc>
          <w:tcPr>
            <w:tcW w:w="9072" w:type="dxa"/>
            <w:tcBorders/>
            <w:shd w:fill="auto" w:val="clear"/>
            <w:vAlign w:val="center"/>
          </w:tcPr>
          <w:p>
            <w:pPr>
              <w:pStyle w:val="Normal1"/>
              <w:widowControl w:val="false"/>
              <w:spacing w:lineRule="auto" w:line="240" w:before="57" w:after="0"/>
              <w:rPr>
                <w:rFonts w:ascii="Arial" w:hAnsi="Arial" w:eastAsia="Arial" w:cs="Arial"/>
                <w:color w:val="000000"/>
                <w:position w:val="0"/>
                <w:sz w:val="24"/>
                <w:sz w:val="24"/>
                <w:u w:val="none"/>
                <w:vertAlign w:val="baseline"/>
              </w:rPr>
            </w:pPr>
            <w:r>
              <w:rPr>
                <w:rFonts w:eastAsia="Arial" w:cs="Arial" w:ascii="Arial" w:hAnsi="Arial"/>
                <w:position w:val="0"/>
                <w:sz w:val="20"/>
                <w:sz w:val="20"/>
                <w:szCs w:val="20"/>
                <w:highlight w:val="white"/>
                <w:vertAlign w:val="baseline"/>
              </w:rPr>
              <w:t xml:space="preserve">Arquivo anexado no site de licitações do </w:t>
            </w:r>
            <w:r>
              <w:rPr>
                <w:rFonts w:eastAsia="Arial" w:cs="Arial" w:ascii="Arial" w:hAnsi="Arial"/>
                <w:color w:val="000000"/>
                <w:position w:val="0"/>
                <w:sz w:val="20"/>
                <w:sz w:val="20"/>
                <w:szCs w:val="20"/>
                <w:highlight w:val="white"/>
                <w:u w:val="none"/>
                <w:vertAlign w:val="baseline"/>
              </w:rPr>
              <w:t>sistema adotado para a licitação:</w:t>
            </w:r>
            <w:r>
              <w:rPr>
                <w:rFonts w:eastAsia="Arial" w:cs="Arial" w:ascii="Arial" w:hAnsi="Arial"/>
                <w:color w:val="000080"/>
                <w:position w:val="0"/>
                <w:sz w:val="20"/>
                <w:sz w:val="20"/>
                <w:szCs w:val="20"/>
                <w:highlight w:val="white"/>
                <w:u w:val="none"/>
                <w:vertAlign w:val="baseline"/>
              </w:rPr>
              <w:t xml:space="preserve"> </w:t>
            </w:r>
            <w:r>
              <w:rPr>
                <w:rFonts w:eastAsia="Arial" w:cs="Arial" w:ascii="Arial" w:hAnsi="Arial"/>
                <w:color w:val="000000"/>
                <w:position w:val="0"/>
                <w:sz w:val="20"/>
                <w:sz w:val="20"/>
                <w:szCs w:val="20"/>
                <w:u w:val="none"/>
                <w:vertAlign w:val="baseline"/>
              </w:rPr>
              <w:t>inserir link de acesso</w:t>
            </w:r>
          </w:p>
          <w:p>
            <w:pPr>
              <w:pStyle w:val="Normal1"/>
              <w:widowControl w:val="false"/>
              <w:spacing w:lineRule="auto" w:line="240" w:before="57" w:after="0"/>
              <w:rPr>
                <w:position w:val="0"/>
                <w:sz w:val="24"/>
                <w:sz w:val="24"/>
                <w:vertAlign w:val="baseline"/>
              </w:rPr>
            </w:pPr>
            <w:r>
              <w:rPr>
                <w:rFonts w:eastAsia="Arial" w:cs="Arial" w:ascii="Arial" w:hAnsi="Arial"/>
                <w:color w:val="000000"/>
                <w:position w:val="0"/>
                <w:sz w:val="24"/>
                <w:sz w:val="24"/>
                <w:u w:val="none"/>
                <w:vertAlign w:val="baseline"/>
              </w:rPr>
              <w:t>(Entrar com a Pesquisa avançada)</w:t>
            </w:r>
          </w:p>
        </w:tc>
      </w:tr>
      <w:tr>
        <w:trPr>
          <w:cantSplit w:val="true"/>
        </w:trPr>
        <w:tc>
          <w:tcPr>
            <w:tcW w:w="9072" w:type="dxa"/>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OU</w:t>
            </w:r>
          </w:p>
        </w:tc>
      </w:tr>
      <w:tr>
        <w:trPr>
          <w:cantSplit w:val="true"/>
        </w:trPr>
        <w:tc>
          <w:tcPr>
            <w:tcW w:w="9072" w:type="dxa"/>
            <w:tcBorders/>
            <w:shd w:fill="auto" w:val="clear"/>
            <w:vAlign w:val="center"/>
          </w:tcPr>
          <w:p>
            <w:pPr>
              <w:pStyle w:val="Normal1"/>
              <w:widowControl w:val="false"/>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color w:val="000000"/>
                <w:position w:val="0"/>
                <w:sz w:val="20"/>
                <w:sz w:val="20"/>
                <w:szCs w:val="20"/>
                <w:u w:val="none"/>
                <w:vertAlign w:val="baseline"/>
              </w:rPr>
              <w:t>Arquivo anexado no site de licitações do siste</w:t>
            </w:r>
            <w:r>
              <w:rPr>
                <w:rFonts w:eastAsia="Arial" w:cs="Arial" w:ascii="Arial" w:hAnsi="Arial"/>
                <w:color w:val="000000"/>
                <w:position w:val="0"/>
                <w:sz w:val="20"/>
                <w:sz w:val="20"/>
                <w:szCs w:val="20"/>
                <w:highlight w:val="white"/>
                <w:u w:val="none"/>
                <w:vertAlign w:val="baseline"/>
              </w:rPr>
              <w:t>ma adotado para a licitação:</w:t>
            </w:r>
            <w:r>
              <w:rPr>
                <w:rFonts w:eastAsia="Arial" w:cs="Arial" w:ascii="Arial" w:hAnsi="Arial"/>
                <w:color w:val="000080"/>
                <w:position w:val="0"/>
                <w:sz w:val="20"/>
                <w:sz w:val="20"/>
                <w:szCs w:val="20"/>
                <w:highlight w:val="white"/>
                <w:u w:val="none"/>
                <w:vertAlign w:val="baseline"/>
              </w:rPr>
              <w:t xml:space="preserve"> </w:t>
            </w:r>
            <w:r>
              <w:rPr>
                <w:rFonts w:eastAsia="Arial" w:cs="Arial" w:ascii="Arial" w:hAnsi="Arial"/>
                <w:color w:val="000000"/>
                <w:position w:val="0"/>
                <w:sz w:val="20"/>
                <w:sz w:val="20"/>
                <w:szCs w:val="20"/>
                <w:u w:val="none"/>
                <w:vertAlign w:val="baseline"/>
              </w:rPr>
              <w:t>inserir link de acesso</w:t>
            </w:r>
          </w:p>
          <w:p>
            <w:pPr>
              <w:pStyle w:val="Normal1"/>
              <w:widowControl w:val="false"/>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(Entrar na pasta “Pregão Eletrônico” e escolher esta licitação)</w:t>
            </w:r>
          </w:p>
        </w:tc>
      </w:tr>
    </w:tbl>
    <w:p>
      <w:pPr>
        <w:pStyle w:val="Normal1"/>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r>
        <w:br w:type="page"/>
      </w:r>
    </w:p>
    <w:p>
      <w:pPr>
        <w:pStyle w:val="Normal1"/>
        <w:keepNext w:val="false"/>
        <w:keepLines w:val="false"/>
        <w:widowControl/>
        <w:shd w:val="clear" w:fill="auto"/>
        <w:tabs>
          <w:tab w:val="clear" w:pos="720"/>
          <w:tab w:val="left" w:pos="993" w:leader="none"/>
          <w:tab w:val="center" w:pos="4252" w:leader="none"/>
          <w:tab w:val="right" w:pos="8504" w:leader="none"/>
        </w:tabs>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ANEXO XV</w:t>
      </w:r>
    </w:p>
    <w:p>
      <w:pPr>
        <w:pStyle w:val="Normal1"/>
        <w:tabs>
          <w:tab w:val="clear" w:pos="720"/>
          <w:tab w:val="left" w:pos="284" w:leader="none"/>
        </w:tabs>
        <w:spacing w:lineRule="auto" w:line="240" w:before="113" w:after="0"/>
        <w:jc w:val="center"/>
        <w:rPr>
          <w:position w:val="0"/>
          <w:sz w:val="24"/>
          <w:sz w:val="24"/>
          <w:vertAlign w:val="baseline"/>
        </w:rPr>
      </w:pPr>
      <w:r>
        <w:rPr>
          <w:rFonts w:eastAsia="Arial" w:cs="Arial" w:ascii="Arial" w:hAnsi="Arial"/>
          <w:b/>
          <w:color w:val="000000"/>
          <w:position w:val="0"/>
          <w:sz w:val="20"/>
          <w:sz w:val="20"/>
          <w:szCs w:val="20"/>
          <w:highlight w:val="white"/>
          <w:vertAlign w:val="baseline"/>
        </w:rPr>
        <w:t>DOCUMENTOS DE HABILITAÇÃO</w:t>
      </w:r>
    </w:p>
    <w:p>
      <w:pPr>
        <w:pStyle w:val="Normal1"/>
        <w:tabs>
          <w:tab w:val="clear" w:pos="720"/>
          <w:tab w:val="left" w:pos="284" w:leader="none"/>
        </w:tabs>
        <w:spacing w:lineRule="auto" w:line="240" w:before="113" w:after="0"/>
        <w:jc w:val="center"/>
        <w:rPr>
          <w:position w:val="0"/>
          <w:sz w:val="24"/>
          <w:sz w:val="24"/>
          <w:vertAlign w:val="baseline"/>
        </w:rPr>
      </w:pPr>
      <w:r>
        <w:rPr>
          <w:position w:val="0"/>
          <w:sz w:val="24"/>
          <w:sz w:val="24"/>
          <w:vertAlign w:val="baseline"/>
        </w:rPr>
      </w:r>
    </w:p>
    <w:p>
      <w:pPr>
        <w:pStyle w:val="Normal1"/>
        <w:keepNext w:val="true"/>
        <w:keepLines w:val="false"/>
        <w:pageBreakBefore w:val="false"/>
        <w:widowControl/>
        <w:shd w:val="clear" w:fill="FFFFFF"/>
        <w:tabs>
          <w:tab w:val="clear" w:pos="720"/>
          <w:tab w:val="left" w:pos="321" w:leader="none"/>
        </w:tabs>
        <w:spacing w:lineRule="auto" w:line="240" w:before="0" w:after="57"/>
        <w:ind w:hanging="0" w:left="18"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licitante convocado para apresentar os documentos de habilitação, deverá entregar, no prazo máximo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dias úteis, a contar da notificação, os documentos de habilitação, os quais devem ser enviados por processo eletrônico de comunicação à distância conforme estabelecido no presente Edital:</w:t>
      </w:r>
    </w:p>
    <w:p>
      <w:pPr>
        <w:pStyle w:val="Normal1"/>
        <w:keepNext w:val="true"/>
        <w:keepLines w:val="false"/>
        <w:pageBreakBefore w:val="false"/>
        <w:widowControl/>
        <w:shd w:val="clear" w:fill="FFFFFF"/>
        <w:tabs>
          <w:tab w:val="clear" w:pos="720"/>
          <w:tab w:val="left" w:pos="321" w:leader="none"/>
        </w:tabs>
        <w:spacing w:lineRule="auto" w:line="240" w:before="0" w:after="57"/>
        <w:ind w:hanging="0" w:left="18"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tbl>
      <w:tblPr>
        <w:tblStyle w:val="Table75"/>
        <w:tblW w:w="9082" w:type="dxa"/>
        <w:jc w:val="left"/>
        <w:tblInd w:w="-55" w:type="dxa"/>
        <w:tblLayout w:type="fixed"/>
        <w:tblCellMar>
          <w:top w:w="0" w:type="dxa"/>
          <w:left w:w="108" w:type="dxa"/>
          <w:bottom w:w="0" w:type="dxa"/>
          <w:right w:w="108" w:type="dxa"/>
        </w:tblCellMar>
        <w:tblLook w:val="0000"/>
      </w:tblPr>
      <w:tblGrid>
        <w:gridCol w:w="9082"/>
      </w:tblGrid>
      <w:tr>
        <w:trPr>
          <w:trHeight w:val="1762" w:hRule="atLeast"/>
        </w:trPr>
        <w:tc>
          <w:tcPr>
            <w:tcW w:w="9082"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Administração poderá realizar licitação restrita a fornecedores cadastrados, atendidos os critérios, as condições e os limites estabelecidos em regulamento, bem como a ampla publicidade dos procedimentos para o cadastramento, conforme o disposto no § 3.º do art. 87 da Lei Federal n.º 14.133, de 2021. Nesse caso o item 1.1 deverá conter a seguinte redação:</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Todos os licitantes deverão estar registrados no sistema de registro cadastral unificado disponível no Portal Nacional de Contratações Públicas (PNCP), para efeito de cadastro unificado de licitantes.</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singl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OU (para o caso de licitação não restrita a fornecedores cadastrados)</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single"/>
                <w:vertAlign w:val="baseline"/>
              </w:rPr>
              <w:t>1.1 CERTIFICADO DE REGULARIDADE DE REGISTRO CADASTRAL</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de fornecedor, que poderá ser feito e emitido pelo Portal Nacional de Contratações Públicas (PNCP), no portal https://pncp.gov.br/, e os documentos abaixo descritos, salvo os já estejam contemplados e válidos no referido certificado:</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tc>
      </w:tr>
    </w:tbl>
    <w:p>
      <w:pPr>
        <w:pStyle w:val="Normal1"/>
        <w:spacing w:lineRule="auto" w:line="240" w:before="0" w:after="57"/>
        <w:ind w:right="-1"/>
        <w:jc w:val="both"/>
        <w:rPr>
          <w:position w:val="0"/>
          <w:sz w:val="24"/>
          <w:sz w:val="24"/>
          <w:vertAlign w:val="baseline"/>
        </w:rPr>
      </w:pPr>
      <w:r>
        <w:rPr>
          <w:position w:val="0"/>
          <w:sz w:val="24"/>
          <w:sz w:val="24"/>
          <w:vertAlign w:val="baseline"/>
        </w:rPr>
      </w:r>
    </w:p>
    <w:tbl>
      <w:tblPr>
        <w:tblStyle w:val="Table76"/>
        <w:tblW w:w="9082" w:type="dxa"/>
        <w:jc w:val="left"/>
        <w:tblInd w:w="-55" w:type="dxa"/>
        <w:tblLayout w:type="fixed"/>
        <w:tblCellMar>
          <w:top w:w="0" w:type="dxa"/>
          <w:left w:w="108" w:type="dxa"/>
          <w:bottom w:w="0" w:type="dxa"/>
          <w:right w:w="108" w:type="dxa"/>
        </w:tblCellMar>
        <w:tblLook w:val="0000"/>
      </w:tblPr>
      <w:tblGrid>
        <w:gridCol w:w="9082"/>
      </w:tblGrid>
      <w:tr>
        <w:trPr>
          <w:trHeight w:val="1762" w:hRule="atLeast"/>
        </w:trPr>
        <w:tc>
          <w:tcPr>
            <w:tcW w:w="9082"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44</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documentação de habilitação referida neste Capítulo do Título II da Lei Federal n.º 14.133, de 2021 poderá ser:</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substituída por registro cadastral emitido por órgão ou entidade pública, desde que previsto no edital e que o registro tenha sido feito em obediência ao disposto nesta Lei;</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b)</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dispensada, total ou parcialmente, nos termos do inciso III do art. 70 da Lei Federal n.º 14.133/2021.</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 caso do item b deverá ser anexada aos autos a motivação visando demonstrar a adequação para a dispensa total ou parcial de documentos de habilitação, considerando que tal opção poderá impactar na aferição da aptidão dos futuros licitantes.</w:t>
            </w:r>
          </w:p>
        </w:tc>
      </w:tr>
    </w:tbl>
    <w:p>
      <w:pPr>
        <w:pStyle w:val="Normal1"/>
        <w:spacing w:lineRule="auto" w:line="240" w:before="0" w:after="57"/>
        <w:jc w:val="both"/>
        <w:rPr>
          <w:rFonts w:ascii="Arial" w:hAnsi="Arial" w:eastAsia="Arial" w:cs="Arial"/>
          <w:position w:val="0"/>
          <w:sz w:val="24"/>
          <w:sz w:val="24"/>
          <w:highlight w:val="darkGreen"/>
          <w:vertAlign w:val="baseline"/>
        </w:rPr>
      </w:pPr>
      <w:r>
        <w:rPr>
          <w:rFonts w:eastAsia="Arial" w:cs="Arial" w:ascii="Arial" w:hAnsi="Arial"/>
          <w:position w:val="0"/>
          <w:sz w:val="24"/>
          <w:sz w:val="24"/>
          <w:highlight w:val="darkGreen"/>
          <w:vertAlign w:val="baseline"/>
        </w:rPr>
      </w:r>
    </w:p>
    <w:p>
      <w:pPr>
        <w:pStyle w:val="Normal1"/>
        <w:spacing w:lineRule="auto" w:line="240" w:before="0" w:after="57"/>
        <w:jc w:val="both"/>
        <w:rPr>
          <w:position w:val="0"/>
          <w:sz w:val="24"/>
          <w:sz w:val="24"/>
          <w:vertAlign w:val="baseline"/>
        </w:rPr>
      </w:pPr>
      <w:r>
        <w:rPr>
          <w:rFonts w:eastAsia="Arial" w:cs="Arial" w:ascii="Arial" w:hAnsi="Arial"/>
          <w:b/>
          <w:smallCaps/>
          <w:color w:val="000000"/>
          <w:position w:val="0"/>
          <w:sz w:val="20"/>
          <w:sz w:val="20"/>
          <w:szCs w:val="20"/>
          <w:highlight w:val="white"/>
          <w:u w:val="single"/>
          <w:vertAlign w:val="baseline"/>
        </w:rPr>
        <w:t>1.2 DOCUMENTOS DE HABILITAÇÃO JURÍDICA:</w:t>
      </w:r>
      <w:r>
        <w:rPr>
          <w:rFonts w:eastAsia="Arial" w:cs="Arial" w:ascii="Arial" w:hAnsi="Arial"/>
          <w:color w:val="000000"/>
          <w:position w:val="0"/>
          <w:sz w:val="20"/>
          <w:sz w:val="20"/>
          <w:szCs w:val="20"/>
          <w:highlight w:val="white"/>
          <w:vertAlign w:val="baseline"/>
        </w:rPr>
        <w:t xml:space="preserve"> Cédula de Identidade, no caso de pessoa física.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ato formal de designação de diretoria em exercício. </w:t>
      </w:r>
      <w:r>
        <w:rPr>
          <w:rFonts w:eastAsia="Arial" w:cs="Arial" w:ascii="Arial" w:hAnsi="Arial"/>
          <w:color w:val="000000"/>
          <w:position w:val="0"/>
          <w:sz w:val="20"/>
          <w:sz w:val="20"/>
          <w:szCs w:val="20"/>
          <w:vertAlign w:val="baseline"/>
        </w:rPr>
        <w:t>Decreto de autorização, em se tratando de empresa ou sociedade estrangeira em funcionamento no País</w:t>
      </w:r>
      <w:r>
        <w:rPr>
          <w:rFonts w:eastAsia="Arial" w:cs="Arial" w:ascii="Arial" w:hAnsi="Arial"/>
          <w:color w:val="000000"/>
          <w:position w:val="0"/>
          <w:sz w:val="20"/>
          <w:sz w:val="20"/>
          <w:szCs w:val="20"/>
          <w:highlight w:val="white"/>
          <w:vertAlign w:val="baseline"/>
        </w:rPr>
        <w:t>. Procuração do representante do licitante no pregão, se for o caso.</w:t>
      </w:r>
    </w:p>
    <w:p>
      <w:pPr>
        <w:pStyle w:val="Normal1"/>
        <w:spacing w:lineRule="auto" w:line="240" w:before="0" w:after="57"/>
        <w:jc w:val="both"/>
        <w:rPr>
          <w:position w:val="0"/>
          <w:sz w:val="24"/>
          <w:sz w:val="24"/>
          <w:vertAlign w:val="baseline"/>
        </w:rPr>
      </w:pPr>
      <w:r>
        <w:rPr>
          <w:position w:val="0"/>
          <w:sz w:val="24"/>
          <w:sz w:val="24"/>
          <w:vertAlign w:val="baseline"/>
        </w:rPr>
      </w:r>
    </w:p>
    <w:tbl>
      <w:tblPr>
        <w:tblStyle w:val="Table77"/>
        <w:tblW w:w="9136" w:type="dxa"/>
        <w:jc w:val="right"/>
        <w:tblInd w:w="0" w:type="dxa"/>
        <w:tblLayout w:type="fixed"/>
        <w:tblCellMar>
          <w:top w:w="0" w:type="dxa"/>
          <w:left w:w="108" w:type="dxa"/>
          <w:bottom w:w="0" w:type="dxa"/>
          <w:right w:w="108" w:type="dxa"/>
        </w:tblCellMar>
        <w:tblLook w:val="0000"/>
      </w:tblPr>
      <w:tblGrid>
        <w:gridCol w:w="9136"/>
      </w:tblGrid>
      <w:tr>
        <w:trPr>
          <w:trHeight w:val="1762" w:hRule="atLeast"/>
        </w:trPr>
        <w:tc>
          <w:tcPr>
            <w:tcW w:w="9136"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highlight w:val="yellow"/>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highlight w:val="yellow"/>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highlight w:val="yellow"/>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highlight w:val="yellow"/>
                <w:rFonts w:eastAsia="Arial" w:cs="Arial" w:ascii="Arial" w:hAnsi="Arial"/>
                <w:color w:val="000000"/>
              </w:rPr>
              <w:t>45</w:t>
            </w:r>
            <w:r>
              <w:rPr>
                <w:smallCaps w:val="false"/>
                <w:caps w:val="false"/>
                <w:dstrike w:val="false"/>
                <w:strike w:val="false"/>
                <w:vertAlign w:val="baseline"/>
                <w:position w:val="0"/>
                <w:sz w:val="20"/>
                <w:sz w:val="20"/>
                <w:i w:val="false"/>
                <w:u w:val="none"/>
                <w:b/>
                <w:shd w:fill="auto" w:val="clear"/>
                <w:szCs w:val="20"/>
                <w:highlight w:val="yellow"/>
                <w:rFonts w:eastAsia="Arial" w:cs="Arial" w:ascii="Arial" w:hAnsi="Arial"/>
                <w:color w:val="000000"/>
              </w:rPr>
              <w:fldChar w:fldCharType="end"/>
            </w:r>
          </w:p>
          <w:p>
            <w:pPr>
              <w:pStyle w:val="Normal1"/>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subitem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deverá ser inserido no caso de necessidade de comprovação da autorização para funcionamento.</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Administração deverá verificar a necessidade de exigir a autorização de funcionamento e justificar a exigência de acordo com a legislação pertinente.</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 de registro ou autorização para funcionamento expedido pelo [XXXXXXXXXXXX] órgão competente nos termos da [XXXXX].</w:t>
            </w:r>
          </w:p>
        </w:tc>
      </w:tr>
    </w:tbl>
    <w:p>
      <w:pPr>
        <w:pStyle w:val="Normal1"/>
        <w:spacing w:lineRule="auto" w:line="240" w:before="0" w:after="57"/>
        <w:jc w:val="both"/>
        <w:rPr>
          <w:rFonts w:ascii="Arial" w:hAnsi="Arial" w:eastAsia="Arial" w:cs="Arial"/>
          <w:position w:val="0"/>
          <w:sz w:val="24"/>
          <w:sz w:val="24"/>
          <w:highlight w:val="darkGreen"/>
          <w:vertAlign w:val="baseline"/>
        </w:rPr>
      </w:pPr>
      <w:r>
        <w:rPr>
          <w:rFonts w:eastAsia="Arial" w:cs="Arial" w:ascii="Arial" w:hAnsi="Arial"/>
          <w:position w:val="0"/>
          <w:sz w:val="24"/>
          <w:sz w:val="24"/>
          <w:highlight w:val="darkGreen"/>
          <w:vertAlign w:val="baseline"/>
        </w:rPr>
      </w:r>
    </w:p>
    <w:p>
      <w:pPr>
        <w:pStyle w:val="Normal1"/>
        <w:spacing w:lineRule="auto" w:line="240" w:before="0" w:after="57"/>
        <w:jc w:val="both"/>
        <w:rPr>
          <w:position w:val="0"/>
          <w:sz w:val="24"/>
          <w:sz w:val="24"/>
          <w:vertAlign w:val="baseline"/>
        </w:rPr>
      </w:pPr>
      <w:r>
        <w:rPr>
          <w:rFonts w:eastAsia="Arial" w:cs="Arial" w:ascii="Arial" w:hAnsi="Arial"/>
          <w:b/>
          <w:smallCaps/>
          <w:color w:val="000000"/>
          <w:position w:val="0"/>
          <w:sz w:val="20"/>
          <w:sz w:val="20"/>
          <w:szCs w:val="20"/>
          <w:highlight w:val="white"/>
          <w:u w:val="single"/>
          <w:vertAlign w:val="baseline"/>
        </w:rPr>
        <w:t xml:space="preserve">1.3 DOCUMENTOS DE </w:t>
      </w:r>
      <w:r>
        <w:rPr>
          <w:rFonts w:eastAsia="Arial" w:cs="Arial" w:ascii="Arial" w:hAnsi="Arial"/>
          <w:b/>
          <w:smallCaps/>
          <w:color w:val="000000"/>
          <w:position w:val="0"/>
          <w:sz w:val="20"/>
          <w:sz w:val="20"/>
          <w:szCs w:val="20"/>
          <w:u w:val="single"/>
          <w:vertAlign w:val="baseline"/>
        </w:rPr>
        <w:t>HABILITAÇÃO FISCAL, SOCIAL E TRABALHISTA</w:t>
      </w:r>
      <w:r>
        <w:rPr>
          <w:rFonts w:eastAsia="Arial" w:cs="Arial" w:ascii="Arial" w:hAnsi="Arial"/>
          <w:b/>
          <w:smallCaps/>
          <w:color w:val="000000"/>
          <w:position w:val="0"/>
          <w:sz w:val="20"/>
          <w:sz w:val="20"/>
          <w:szCs w:val="20"/>
          <w:vertAlign w:val="baseline"/>
        </w:rPr>
        <w:t>:</w:t>
      </w:r>
      <w:r>
        <w:rPr>
          <w:rFonts w:eastAsia="Arial" w:cs="Arial" w:ascii="Arial" w:hAnsi="Arial"/>
          <w:color w:val="000000"/>
          <w:position w:val="0"/>
          <w:sz w:val="20"/>
          <w:sz w:val="20"/>
          <w:szCs w:val="20"/>
          <w:vertAlign w:val="baseline"/>
        </w:rPr>
        <w:t xml:space="preserve"> Prova de inscrição no Cadastro de Pessoas Físicas (CPF) ou no Cadastro Nacional de Pessoas Jurídicas (CNPJ); Prova de inscrição no cadastro de contribuintes estadual e/ou municipal, se houver, relativo ao domicílio ou sede do licitante, pertinente ao seu ramo de atividade e compatível com o objeto contratual; Certificado de regularidade do FGTS, emitido pela Caixa Econômica Federal; Certidões de regularidade com a Fazenda Federal (Certidão Conjunta de Débitos relativos a Tributos Federais e à Dívida Ativa da União e Certidão relativa a Contribuições Previdenciárias); Fazenda Estadual (</w:t>
      </w:r>
      <w:r>
        <w:rPr>
          <w:rFonts w:eastAsia="Arial" w:cs="Arial" w:ascii="Arial" w:hAnsi="Arial"/>
          <w:color w:val="000000"/>
          <w:position w:val="0"/>
          <w:sz w:val="20"/>
          <w:sz w:val="20"/>
          <w:szCs w:val="20"/>
          <w:u w:val="single"/>
          <w:vertAlign w:val="baseline"/>
        </w:rPr>
        <w:t>inclusive do Estado do Paraná para licitantes sediados em outro Estado da Federação</w:t>
      </w:r>
      <w:r>
        <w:rPr>
          <w:rFonts w:eastAsia="Arial" w:cs="Arial" w:ascii="Arial" w:hAnsi="Arial"/>
          <w:color w:val="000000"/>
          <w:position w:val="0"/>
          <w:sz w:val="20"/>
          <w:sz w:val="20"/>
          <w:szCs w:val="20"/>
          <w:vertAlign w:val="baseline"/>
        </w:rPr>
        <w:t xml:space="preserve">); e Fazenda Municipal; e Certidão Negativa de Débitos Trabalhistas (CNDT), instituída pela Lei Federal n.º 12.440/2011; Declaração do cumprimento do disposto no </w:t>
      </w:r>
      <w:r>
        <w:fldChar w:fldCharType="begin"/>
      </w:r>
      <w:r>
        <w:rPr>
          <w:rStyle w:val="ListLabel114"/>
          <w:vertAlign w:val="baseline"/>
          <w:position w:val="0"/>
          <w:sz w:val="20"/>
          <w:sz w:val="20"/>
          <w:u w:val="single"/>
          <w:szCs w:val="20"/>
          <w:rFonts w:eastAsia="Arial" w:cs="Arial" w:ascii="Arial" w:hAnsi="Arial"/>
          <w:color w:val="000000"/>
        </w:rPr>
        <w:instrText xml:space="preserve"> HYPERLINK "http://www.planalto.gov.br/ccivil_03/Constituicao/Constituicao.htm" \l "art7xxxiii"</w:instrText>
      </w:r>
      <w:r>
        <w:rPr>
          <w:rStyle w:val="ListLabel114"/>
          <w:vertAlign w:val="baseline"/>
          <w:position w:val="0"/>
          <w:sz w:val="20"/>
          <w:sz w:val="20"/>
          <w:u w:val="single"/>
          <w:szCs w:val="20"/>
          <w:rFonts w:eastAsia="Arial" w:cs="Arial" w:ascii="Arial" w:hAnsi="Arial"/>
          <w:color w:val="000000"/>
        </w:rPr>
        <w:fldChar w:fldCharType="separate"/>
      </w:r>
      <w:r>
        <w:rPr>
          <w:rStyle w:val="ListLabel114"/>
          <w:rFonts w:eastAsia="Arial" w:cs="Arial" w:ascii="Arial" w:hAnsi="Arial"/>
          <w:color w:val="000000"/>
          <w:position w:val="0"/>
          <w:sz w:val="20"/>
          <w:sz w:val="20"/>
          <w:szCs w:val="20"/>
          <w:u w:val="single"/>
          <w:vertAlign w:val="baseline"/>
        </w:rPr>
        <w:t>inciso XXXIII do art. 7º da Constituição Federal.</w:t>
      </w:r>
      <w:r>
        <w:rPr>
          <w:rStyle w:val="ListLabel114"/>
          <w:vertAlign w:val="baseline"/>
          <w:position w:val="0"/>
          <w:sz w:val="20"/>
          <w:sz w:val="20"/>
          <w:u w:val="single"/>
          <w:szCs w:val="20"/>
          <w:rFonts w:eastAsia="Arial" w:cs="Arial" w:ascii="Arial" w:hAnsi="Arial"/>
          <w:color w:val="000000"/>
        </w:rPr>
        <w:fldChar w:fldCharType="end"/>
      </w:r>
    </w:p>
    <w:p>
      <w:pPr>
        <w:pStyle w:val="Normal1"/>
        <w:keepNext w:val="true"/>
        <w:keepLines w:val="false"/>
        <w:pageBreakBefore w:val="false"/>
        <w:widowControl/>
        <w:shd w:val="clear" w:fill="FFFFFF"/>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r>
    </w:p>
    <w:p>
      <w:pPr>
        <w:pStyle w:val="Normal1"/>
        <w:spacing w:lineRule="auto" w:line="240" w:before="0" w:after="57"/>
        <w:jc w:val="both"/>
        <w:rPr>
          <w:rFonts w:ascii="Arial" w:hAnsi="Arial" w:eastAsia="Arial" w:cs="Arial"/>
          <w:position w:val="0"/>
          <w:sz w:val="20"/>
          <w:sz w:val="20"/>
          <w:szCs w:val="20"/>
          <w:highlight w:val="white"/>
          <w:vertAlign w:val="baseline"/>
        </w:rPr>
      </w:pPr>
      <w:r>
        <w:rPr>
          <w:rFonts w:eastAsia="Arial" w:cs="Arial" w:ascii="Arial" w:hAnsi="Arial"/>
          <w:b/>
          <w:color w:val="000000"/>
          <w:position w:val="0"/>
          <w:sz w:val="20"/>
          <w:sz w:val="20"/>
          <w:szCs w:val="20"/>
          <w:u w:val="single"/>
          <w:vertAlign w:val="baseline"/>
        </w:rPr>
        <w:t>1.4 DOCUMENTOS DE HABILITAÇÃO ECONÔMICO-FINANCEIRA:</w:t>
      </w:r>
    </w:p>
    <w:p>
      <w:pPr>
        <w:pStyle w:val="Normal1"/>
        <w:widowControl w:val="false"/>
        <w:tabs>
          <w:tab w:val="clear" w:pos="720"/>
          <w:tab w:val="left" w:pos="426"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position w:val="0"/>
          <w:sz w:val="20"/>
          <w:sz w:val="20"/>
          <w:szCs w:val="20"/>
          <w:highlight w:val="white"/>
          <w:vertAlign w:val="baseline"/>
        </w:rPr>
        <w:t>Para a qualificação Econômico-financeira a Licitante arrematante deverá entregar:</w:t>
      </w:r>
    </w:p>
    <w:p>
      <w:pPr>
        <w:pStyle w:val="Normal1"/>
        <w:widowControl w:val="false"/>
        <w:tabs>
          <w:tab w:val="clear" w:pos="720"/>
          <w:tab w:val="left" w:pos="567" w:leader="none"/>
        </w:tabs>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color w:val="000000"/>
          <w:position w:val="0"/>
          <w:sz w:val="20"/>
          <w:sz w:val="20"/>
          <w:szCs w:val="20"/>
          <w:highlight w:val="white"/>
          <w:vertAlign w:val="baseline"/>
        </w:rPr>
        <w:t>1.4.1</w:t>
      </w:r>
      <w:r>
        <w:rPr>
          <w:rFonts w:eastAsia="Arial" w:cs="Arial" w:ascii="Arial" w:hAnsi="Arial"/>
          <w:color w:val="000000"/>
          <w:position w:val="0"/>
          <w:sz w:val="20"/>
          <w:sz w:val="20"/>
          <w:szCs w:val="20"/>
          <w:highlight w:val="white"/>
          <w:vertAlign w:val="baseline"/>
        </w:rPr>
        <w:t xml:space="preserve"> Certidão Negativa de Falência, expedida pelo distribuidor Judicial da sede do Licitante, com antecedência máxima de até 60 (sessenta) dias corridos, contados da data prevista para a abertura da licitação.</w:t>
      </w:r>
    </w:p>
    <w:p>
      <w:pPr>
        <w:pStyle w:val="Normal1"/>
        <w:spacing w:lineRule="auto" w:line="240" w:before="0" w:after="57"/>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vertAlign w:val="baseline"/>
        </w:rPr>
        <w:t>1</w:t>
      </w:r>
      <w:r>
        <w:rPr>
          <w:rFonts w:eastAsia="Arial" w:cs="Arial" w:ascii="Arial" w:hAnsi="Arial"/>
          <w:b/>
          <w:color w:val="000000"/>
          <w:position w:val="0"/>
          <w:sz w:val="20"/>
          <w:sz w:val="20"/>
          <w:szCs w:val="20"/>
          <w:vertAlign w:val="baseline"/>
        </w:rPr>
        <w:t>.4.2</w:t>
      </w:r>
      <w:bookmarkStart w:id="23" w:name="bookmark=id.2xcytpi"/>
      <w:bookmarkEnd w:id="23"/>
      <w:r>
        <w:rPr>
          <w:rFonts w:eastAsia="Arial" w:cs="Arial" w:ascii="Arial" w:hAnsi="Arial"/>
          <w:color w:val="000000"/>
          <w:position w:val="0"/>
          <w:sz w:val="20"/>
          <w:sz w:val="20"/>
          <w:szCs w:val="20"/>
          <w:vertAlign w:val="baseline"/>
        </w:rPr>
        <w:t xml:space="preserve"> balanço patrimonial,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Serão considerados aceitos como na forma da lei, o balanço patrimonial e demonstrações contábeis assim apresentados:</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Publicados em Diário Oficial ou</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Publicados em Jornal ou</w:t>
      </w:r>
    </w:p>
    <w:p>
      <w:pPr>
        <w:pStyle w:val="Normal1"/>
        <w:widowControl w:val="false"/>
        <w:numPr>
          <w:ilvl w:val="1"/>
          <w:numId w:val="3"/>
        </w:numPr>
        <w:tabs>
          <w:tab w:val="clear" w:pos="720"/>
          <w:tab w:val="left" w:pos="1390" w:leader="none"/>
        </w:tabs>
        <w:spacing w:lineRule="auto" w:line="240" w:before="57" w:after="0"/>
        <w:ind w:hanging="0" w:left="397" w:right="0"/>
        <w:jc w:val="both"/>
        <w:rPr>
          <w:position w:val="0"/>
          <w:sz w:val="20"/>
          <w:sz w:val="20"/>
          <w:szCs w:val="20"/>
          <w:highlight w:val="white"/>
          <w:vertAlign w:val="baseline"/>
        </w:rPr>
      </w:pPr>
      <w:r>
        <w:rPr>
          <w:rFonts w:eastAsia="Arial" w:cs="Arial" w:ascii="Arial" w:hAnsi="Arial"/>
          <w:position w:val="0"/>
          <w:sz w:val="20"/>
          <w:sz w:val="20"/>
          <w:szCs w:val="20"/>
          <w:highlight w:val="white"/>
          <w:vertAlign w:val="baseline"/>
        </w:rPr>
        <w:t>Por cópia ou fotocópia registrada ou autenticada na Junta Comercial da Sede ou domicílio do licitante ou em outro órgão equivalente, inclusive com os Termos de Abertura e Encerramento.</w:t>
      </w:r>
    </w:p>
    <w:p>
      <w:pPr>
        <w:pStyle w:val="Normal1"/>
        <w:keepNext w:val="false"/>
        <w:keepLines w:val="false"/>
        <w:pageBreakBefore w:val="false"/>
        <w:widowControl/>
        <w:numPr>
          <w:ilvl w:val="1"/>
          <w:numId w:val="3"/>
        </w:numPr>
        <w:shd w:val="clear" w:fill="auto"/>
        <w:tabs>
          <w:tab w:val="clear" w:pos="720"/>
          <w:tab w:val="left" w:pos="1422" w:leader="none"/>
        </w:tabs>
        <w:spacing w:lineRule="auto" w:line="240" w:before="57" w:after="0"/>
        <w:ind w:hanging="0" w:left="397" w:right="0"/>
        <w:jc w:val="both"/>
        <w:rPr>
          <w:rFonts w:ascii="Arial" w:hAnsi="Arial" w:eastAsia="Arial" w:cs="Arial"/>
          <w:b w:val="false"/>
          <w:i w:val="false"/>
          <w:i w:val="false"/>
          <w:caps w:val="false"/>
          <w:smallCaps w:val="false"/>
          <w:strike w:val="false"/>
          <w:dstrike w:val="false"/>
          <w:color w:val="FF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t>Quando a data da abertura do certame for superior ao dia 30 de abril do presente ano, somente será aceito o balando do ano anterior.</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eastAsia="Arial" w:cs="Arial"/>
          <w:color w:val="000000"/>
          <w:position w:val="0"/>
          <w:sz w:val="20"/>
          <w:sz w:val="20"/>
          <w:szCs w:val="20"/>
          <w:highlight w:val="white"/>
          <w:vertAlign w:val="baseline"/>
        </w:rPr>
      </w:pPr>
      <w:r>
        <w:rPr>
          <w:rFonts w:eastAsia="Arial" w:cs="Arial" w:ascii="Arial" w:hAnsi="Arial"/>
          <w:position w:val="0"/>
          <w:sz w:val="20"/>
          <w:sz w:val="20"/>
          <w:szCs w:val="20"/>
          <w:highlight w:val="white"/>
          <w:vertAlign w:val="baseline"/>
        </w:rPr>
        <w:t>O Balanço Patrimonial da Sociedade Anônima ou por Ações deverá ser o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registradas na Junta Comercial ou Cartório de Títulos e Documentos.</w:t>
      </w:r>
    </w:p>
    <w:p>
      <w:pPr>
        <w:pStyle w:val="Normal1"/>
        <w:widowControl w:val="false"/>
        <w:numPr>
          <w:ilvl w:val="0"/>
          <w:numId w:val="3"/>
        </w:numPr>
        <w:tabs>
          <w:tab w:val="clear" w:pos="720"/>
          <w:tab w:val="left" w:pos="1248" w:leader="none"/>
        </w:tabs>
        <w:spacing w:lineRule="auto" w:line="240" w:before="57" w:after="0"/>
        <w:ind w:hanging="0" w:left="397" w:right="0"/>
        <w:jc w:val="both"/>
        <w:rPr>
          <w:position w:val="0"/>
          <w:sz w:val="24"/>
          <w:sz w:val="24"/>
          <w:vertAlign w:val="baseline"/>
        </w:rPr>
      </w:pPr>
      <w:r>
        <w:rPr>
          <w:rFonts w:eastAsia="Arial" w:cs="Arial" w:ascii="Arial" w:hAnsi="Arial"/>
          <w:color w:val="000000"/>
          <w:position w:val="0"/>
          <w:sz w:val="20"/>
          <w:sz w:val="20"/>
          <w:szCs w:val="20"/>
          <w:highlight w:val="white"/>
          <w:vertAlign w:val="baseline"/>
        </w:rPr>
        <w:t>Em caso de empresa que ainda não possua balanço patrimonial e demonstrações contábeis já exigíveis, por ser recém-constituída, apresentação de cópia do Balanço de Abertura, devidamente registrado na Junta Comercial ou cópia do Livro Diário contendo o Balanço de Abertura, inclusive com os termos de Abertura e de Encerramento, devidamente registrados na Junta Comercial da sede ou domicílio do Licitante.</w:t>
      </w:r>
    </w:p>
    <w:p>
      <w:pPr>
        <w:pStyle w:val="Normal1"/>
        <w:spacing w:lineRule="auto" w:line="240" w:before="0" w:after="57"/>
        <w:jc w:val="both"/>
        <w:rPr>
          <w:position w:val="0"/>
          <w:sz w:val="24"/>
          <w:sz w:val="24"/>
          <w:vertAlign w:val="baseline"/>
        </w:rPr>
      </w:pPr>
      <w:r>
        <w:rPr>
          <w:position w:val="0"/>
          <w:sz w:val="24"/>
          <w:sz w:val="24"/>
          <w:vertAlign w:val="baseline"/>
        </w:rPr>
      </w:r>
    </w:p>
    <w:p>
      <w:pPr>
        <w:pStyle w:val="Normal1"/>
        <w:spacing w:lineRule="auto" w:line="240" w:before="0"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1.4.2.1</w:t>
      </w:r>
      <w:r>
        <w:rPr>
          <w:rFonts w:eastAsia="Arial" w:cs="Arial" w:ascii="Arial" w:hAnsi="Arial"/>
          <w:color w:val="000000"/>
          <w:position w:val="0"/>
          <w:sz w:val="20"/>
          <w:sz w:val="20"/>
          <w:szCs w:val="20"/>
          <w:vertAlign w:val="baseline"/>
        </w:rPr>
        <w:t xml:space="preserve"> os documentos exigidos no item 1.4.2 serão limitados ao último exercício no caso de a pessoa jurídica ter sido constituída há menos de 2 (dois) anos.</w:t>
      </w:r>
    </w:p>
    <w:p>
      <w:pPr>
        <w:pStyle w:val="Normal1"/>
        <w:spacing w:lineRule="auto" w:line="240" w:before="0"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1.4.2.1.1</w:t>
      </w:r>
      <w:r>
        <w:rPr>
          <w:rFonts w:eastAsia="Arial" w:cs="Arial" w:ascii="Arial" w:hAnsi="Arial"/>
          <w:color w:val="000000"/>
          <w:position w:val="0"/>
          <w:sz w:val="20"/>
          <w:sz w:val="20"/>
          <w:szCs w:val="20"/>
          <w:vertAlign w:val="baseline"/>
        </w:rPr>
        <w:t xml:space="preserve"> as empresas criadas no exercício financeiro da licitação deverão atender a todas as exigências da habilitação e ficarão autorizadas a substituir os demonstrativos contábeis pelo balanço de abertura.</w:t>
      </w:r>
    </w:p>
    <w:p>
      <w:pPr>
        <w:pStyle w:val="Normal1"/>
        <w:spacing w:lineRule="auto" w:line="240" w:before="0" w:after="57"/>
        <w:jc w:val="both"/>
        <w:rPr>
          <w:position w:val="0"/>
          <w:sz w:val="20"/>
          <w:sz w:val="20"/>
          <w:szCs w:val="20"/>
          <w:highlight w:val="white"/>
          <w:vertAlign w:val="baseline"/>
        </w:rPr>
      </w:pPr>
      <w:r>
        <w:rPr>
          <w:rFonts w:eastAsia="Arial" w:cs="Arial" w:ascii="Arial" w:hAnsi="Arial"/>
          <w:b/>
          <w:color w:val="000000"/>
          <w:position w:val="0"/>
          <w:sz w:val="20"/>
          <w:sz w:val="20"/>
          <w:szCs w:val="20"/>
          <w:vertAlign w:val="baseline"/>
        </w:rPr>
        <w:t xml:space="preserve">1.4.3 </w:t>
      </w:r>
      <w:r>
        <w:rPr>
          <w:rFonts w:eastAsia="Arial" w:cs="Arial" w:ascii="Arial" w:hAnsi="Arial"/>
          <w:color w:val="000000"/>
          <w:position w:val="0"/>
          <w:sz w:val="20"/>
          <w:sz w:val="20"/>
          <w:szCs w:val="20"/>
          <w:vertAlign w:val="baseline"/>
        </w:rPr>
        <w:t>a comprovação da situação financeira da empresa será</w:t>
      </w:r>
      <w:r>
        <w:rPr>
          <w:rFonts w:eastAsia="Arial" w:cs="Arial" w:ascii="Arial" w:hAnsi="Arial"/>
          <w:color w:val="000000"/>
          <w:position w:val="0"/>
          <w:sz w:val="20"/>
          <w:sz w:val="20"/>
          <w:szCs w:val="20"/>
          <w:highlight w:val="white"/>
          <w:vertAlign w:val="baseline"/>
        </w:rPr>
        <w:t xml:space="preserve"> avaliada pelos Índices de Liquidez Corrente (ILC), Liquidez Geral (ILG) e Grau de Endividamento (GE), bem como pela Disponibilidade Financeira Operacional, resultantes da aplicação das seguintes fórmulas:</w:t>
      </w:r>
    </w:p>
    <w:p>
      <w:pPr>
        <w:pStyle w:val="Normal1"/>
        <w:keepNext w:val="false"/>
        <w:keepLines w:val="false"/>
        <w:pageBreakBefore w:val="false"/>
        <w:widowControl w:val="false"/>
        <w:shd w:val="clear" w:fill="auto"/>
        <w:tabs>
          <w:tab w:val="clear" w:pos="720"/>
          <w:tab w:val="left" w:pos="1390" w:leader="none"/>
        </w:tabs>
        <w:spacing w:lineRule="auto" w:line="240" w:before="57" w:after="0"/>
        <w:ind w:hanging="0" w:left="397" w:right="0"/>
        <w:jc w:val="both"/>
        <w:rPr>
          <w:rFonts w:ascii="Arial" w:hAnsi="Arial" w:eastAsia="Arial" w:cs="Arial"/>
          <w:b w:val="false"/>
          <w:i w:val="false"/>
          <w:i w:val="false"/>
          <w:caps w:val="false"/>
          <w:smallCaps w:val="false"/>
          <w:strike w:val="false"/>
          <w:dstrike w:val="false"/>
          <w:color w:val="FF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t>Índice de Liquidez Corrente (ILC):</w:t>
      </w:r>
    </w:p>
    <w:p>
      <w:pPr>
        <w:pStyle w:val="Normal1"/>
        <w:keepNext w:val="false"/>
        <w:keepLines w:val="false"/>
        <w:pageBreakBefore w:val="false"/>
        <w:widowControl w:val="false"/>
        <w:shd w:val="clear" w:fill="auto"/>
        <w:tabs>
          <w:tab w:val="clear" w:pos="720"/>
          <w:tab w:val="left" w:pos="1390" w:leader="none"/>
        </w:tabs>
        <w:spacing w:lineRule="auto" w:line="240" w:before="57" w:after="0"/>
        <w:ind w:hanging="0" w:left="397" w:right="0"/>
        <w:jc w:val="both"/>
        <w:rPr>
          <w:rFonts w:ascii="Arial" w:hAnsi="Arial" w:eastAsia="Arial" w:cs="Arial"/>
          <w:b w:val="false"/>
          <w:i w:val="false"/>
          <w:i w:val="false"/>
          <w:caps w:val="false"/>
          <w:smallCaps w:val="false"/>
          <w:strike w:val="false"/>
          <w:dstrike w:val="false"/>
          <w:color w:val="FF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r>
    </w:p>
    <w:tbl>
      <w:tblPr>
        <w:tblStyle w:val="Table78"/>
        <w:tblW w:w="2974" w:type="dxa"/>
        <w:jc w:val="left"/>
        <w:tblInd w:w="-70" w:type="dxa"/>
        <w:tblLayout w:type="fixed"/>
        <w:tblCellMar>
          <w:top w:w="0" w:type="dxa"/>
          <w:left w:w="108" w:type="dxa"/>
          <w:bottom w:w="0" w:type="dxa"/>
          <w:right w:w="108" w:type="dxa"/>
        </w:tblCellMar>
        <w:tblLook w:val="0000"/>
      </w:tblPr>
      <w:tblGrid>
        <w:gridCol w:w="849"/>
        <w:gridCol w:w="2124"/>
      </w:tblGrid>
      <w:tr>
        <w:trPr>
          <w:cantSplit w:val="true"/>
        </w:trPr>
        <w:tc>
          <w:tcPr>
            <w:tcW w:w="849" w:type="dxa"/>
            <w:vMerge w:val="restart"/>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ILC =</w:t>
            </w:r>
          </w:p>
        </w:tc>
        <w:tc>
          <w:tcPr>
            <w:tcW w:w="2124" w:type="dxa"/>
            <w:tcBorders>
              <w:bottom w:val="single" w:sz="4" w:space="0" w:color="000080"/>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Ativo Circulante</w:t>
            </w:r>
          </w:p>
        </w:tc>
      </w:tr>
      <w:tr>
        <w:trPr>
          <w:cantSplit w:val="true"/>
        </w:trPr>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2124" w:type="dxa"/>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Passivo Circulante</w:t>
            </w:r>
          </w:p>
        </w:tc>
      </w:tr>
      <w:tr>
        <w:trPr>
          <w:cantSplit w:val="true"/>
        </w:trPr>
        <w:tc>
          <w:tcPr>
            <w:tcW w:w="2973"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Índice de Liquidez Geral (ILG):</w:t>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79"/>
        <w:tblW w:w="5243" w:type="dxa"/>
        <w:jc w:val="left"/>
        <w:tblInd w:w="-70" w:type="dxa"/>
        <w:tblLayout w:type="fixed"/>
        <w:tblCellMar>
          <w:top w:w="0" w:type="dxa"/>
          <w:left w:w="108" w:type="dxa"/>
          <w:bottom w:w="0" w:type="dxa"/>
          <w:right w:w="108" w:type="dxa"/>
        </w:tblCellMar>
        <w:tblLook w:val="0000"/>
      </w:tblPr>
      <w:tblGrid>
        <w:gridCol w:w="848"/>
        <w:gridCol w:w="4394"/>
      </w:tblGrid>
      <w:tr>
        <w:trPr>
          <w:cantSplit w:val="true"/>
        </w:trPr>
        <w:tc>
          <w:tcPr>
            <w:tcW w:w="848" w:type="dxa"/>
            <w:vMerge w:val="restart"/>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ILG =</w:t>
            </w:r>
          </w:p>
        </w:tc>
        <w:tc>
          <w:tcPr>
            <w:tcW w:w="4394" w:type="dxa"/>
            <w:tcBorders>
              <w:bottom w:val="single" w:sz="4" w:space="0" w:color="000080"/>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Ativo Circulante + Realizável a Longo Prazo</w:t>
            </w:r>
          </w:p>
        </w:tc>
      </w:tr>
      <w:tr>
        <w:trPr>
          <w:cantSplit w:val="true"/>
        </w:trPr>
        <w:tc>
          <w:tcPr>
            <w:tcW w:w="848"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394" w:type="dxa"/>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Passivo Circulante + Exigível à Longo Prazo</w:t>
            </w:r>
          </w:p>
        </w:tc>
      </w:tr>
      <w:tr>
        <w:trPr>
          <w:cantSplit w:val="true"/>
        </w:trPr>
        <w:tc>
          <w:tcPr>
            <w:tcW w:w="5242"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Grau de Endividamento (GE):</w:t>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0"/>
        <w:tblW w:w="5243" w:type="dxa"/>
        <w:jc w:val="left"/>
        <w:tblInd w:w="-70" w:type="dxa"/>
        <w:tblLayout w:type="fixed"/>
        <w:tblCellMar>
          <w:top w:w="0" w:type="dxa"/>
          <w:left w:w="108" w:type="dxa"/>
          <w:bottom w:w="0" w:type="dxa"/>
          <w:right w:w="108" w:type="dxa"/>
        </w:tblCellMar>
        <w:tblLook w:val="0000"/>
      </w:tblPr>
      <w:tblGrid>
        <w:gridCol w:w="848"/>
        <w:gridCol w:w="4394"/>
      </w:tblGrid>
      <w:tr>
        <w:trPr>
          <w:cantSplit w:val="true"/>
        </w:trPr>
        <w:tc>
          <w:tcPr>
            <w:tcW w:w="848" w:type="dxa"/>
            <w:vMerge w:val="restart"/>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GE =</w:t>
            </w:r>
          </w:p>
        </w:tc>
        <w:tc>
          <w:tcPr>
            <w:tcW w:w="4394" w:type="dxa"/>
            <w:tcBorders>
              <w:bottom w:val="single" w:sz="4" w:space="0" w:color="000080"/>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Passivo Circulante + Exigível a Longo Prazo</w:t>
            </w:r>
          </w:p>
        </w:tc>
      </w:tr>
      <w:tr>
        <w:trPr>
          <w:cantSplit w:val="true"/>
        </w:trPr>
        <w:tc>
          <w:tcPr>
            <w:tcW w:w="848"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394" w:type="dxa"/>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Ativo Total</w:t>
            </w:r>
          </w:p>
        </w:tc>
      </w:tr>
      <w:tr>
        <w:trPr>
          <w:cantSplit w:val="true"/>
        </w:trPr>
        <w:tc>
          <w:tcPr>
            <w:tcW w:w="5242"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Valor Patrimonial (VP):</w:t>
      </w:r>
    </w:p>
    <w:tbl>
      <w:tblPr>
        <w:tblStyle w:val="Table81"/>
        <w:tblW w:w="2974" w:type="dxa"/>
        <w:jc w:val="left"/>
        <w:tblInd w:w="-70" w:type="dxa"/>
        <w:tblLayout w:type="fixed"/>
        <w:tblCellMar>
          <w:top w:w="0" w:type="dxa"/>
          <w:left w:w="108" w:type="dxa"/>
          <w:bottom w:w="0" w:type="dxa"/>
          <w:right w:w="108" w:type="dxa"/>
        </w:tblCellMar>
        <w:tblLook w:val="0000"/>
      </w:tblPr>
      <w:tblGrid>
        <w:gridCol w:w="849"/>
        <w:gridCol w:w="2124"/>
      </w:tblGrid>
      <w:tr>
        <w:trPr>
          <w:cantSplit w:val="true"/>
        </w:trPr>
        <w:tc>
          <w:tcPr>
            <w:tcW w:w="849" w:type="dxa"/>
            <w:vMerge w:val="restart"/>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VP =</w:t>
            </w:r>
          </w:p>
        </w:tc>
        <w:tc>
          <w:tcPr>
            <w:tcW w:w="2124" w:type="dxa"/>
            <w:tcBorders>
              <w:bottom w:val="single" w:sz="4" w:space="0" w:color="000080"/>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Patrimônio Líquido</w:t>
            </w:r>
          </w:p>
        </w:tc>
      </w:tr>
      <w:tr>
        <w:trPr>
          <w:cantSplit w:val="true"/>
        </w:trPr>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2124" w:type="dxa"/>
            <w:tcBorders/>
            <w:shd w:fill="auto" w:val="clear"/>
          </w:tcPr>
          <w:p>
            <w:pPr>
              <w:pStyle w:val="Normal1"/>
              <w:spacing w:lineRule="auto" w:line="240" w:before="57" w:after="0"/>
              <w:jc w:val="center"/>
              <w:rPr>
                <w:position w:val="0"/>
                <w:sz w:val="24"/>
                <w:sz w:val="24"/>
                <w:vertAlign w:val="baseline"/>
              </w:rPr>
            </w:pPr>
            <w:r>
              <w:rPr>
                <w:rFonts w:eastAsia="Arial" w:cs="Arial" w:ascii="Arial" w:hAnsi="Arial"/>
                <w:position w:val="0"/>
                <w:sz w:val="20"/>
                <w:sz w:val="20"/>
                <w:szCs w:val="20"/>
                <w:highlight w:val="white"/>
                <w:vertAlign w:val="baseline"/>
              </w:rPr>
              <w:t>Capital Social</w:t>
            </w:r>
          </w:p>
        </w:tc>
      </w:tr>
      <w:tr>
        <w:trPr>
          <w:cantSplit w:val="true"/>
        </w:trPr>
        <w:tc>
          <w:tcPr>
            <w:tcW w:w="2973"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Cálculo dos Coeficientes K5, K6, K7 e Kf:</w:t>
      </w:r>
    </w:p>
    <w:p>
      <w:pPr>
        <w:pStyle w:val="Normal1"/>
        <w:widowControl w:val="false"/>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2"/>
        <w:tblW w:w="9198" w:type="dxa"/>
        <w:jc w:val="left"/>
        <w:tblInd w:w="0" w:type="dxa"/>
        <w:tblLayout w:type="fixed"/>
        <w:tblCellMar>
          <w:top w:w="0" w:type="dxa"/>
          <w:left w:w="108" w:type="dxa"/>
          <w:bottom w:w="0" w:type="dxa"/>
          <w:right w:w="108" w:type="dxa"/>
        </w:tblCellMar>
        <w:tblLook w:val="0000"/>
      </w:tblPr>
      <w:tblGrid>
        <w:gridCol w:w="411"/>
        <w:gridCol w:w="414"/>
        <w:gridCol w:w="417"/>
        <w:gridCol w:w="419"/>
        <w:gridCol w:w="416"/>
        <w:gridCol w:w="437"/>
        <w:gridCol w:w="399"/>
        <w:gridCol w:w="23"/>
        <w:gridCol w:w="105"/>
        <w:gridCol w:w="23"/>
        <w:gridCol w:w="399"/>
        <w:gridCol w:w="414"/>
        <w:gridCol w:w="160"/>
        <w:gridCol w:w="256"/>
        <w:gridCol w:w="420"/>
        <w:gridCol w:w="416"/>
        <w:gridCol w:w="421"/>
        <w:gridCol w:w="52"/>
        <w:gridCol w:w="362"/>
        <w:gridCol w:w="50"/>
        <w:gridCol w:w="81"/>
        <w:gridCol w:w="47"/>
        <w:gridCol w:w="374"/>
        <w:gridCol w:w="416"/>
        <w:gridCol w:w="234"/>
        <w:gridCol w:w="183"/>
        <w:gridCol w:w="418"/>
        <w:gridCol w:w="416"/>
        <w:gridCol w:w="419"/>
        <w:gridCol w:w="65"/>
        <w:gridCol w:w="432"/>
        <w:gridCol w:w="63"/>
        <w:gridCol w:w="34"/>
      </w:tblGrid>
      <w:tr>
        <w:trPr>
          <w:cantSplit w:val="true"/>
        </w:trPr>
        <w:tc>
          <w:tcPr>
            <w:tcW w:w="9099" w:type="dxa"/>
            <w:gridSpan w:val="31"/>
            <w:tcBorders/>
            <w:shd w:fill="auto" w:val="clear"/>
            <w:vAlign w:val="center"/>
          </w:tcPr>
          <w:p>
            <w:pPr>
              <w:pStyle w:val="Normal1"/>
              <w:widowControl w:val="false"/>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63" w:type="dxa"/>
            <w:tcBorders/>
            <w:shd w:fill="auto" w:val="clear"/>
          </w:tcPr>
          <w:p>
            <w:pPr>
              <w:pStyle w:val="Normal1"/>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34" w:type="dxa"/>
            <w:tcBorders/>
            <w:shd w:fill="auto" w:val="clear"/>
          </w:tcPr>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37"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CAPACIDADE</w:t>
            </w:r>
          </w:p>
        </w:tc>
        <w:tc>
          <w:tcPr>
            <w:tcW w:w="1565"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ÍNDICES</w:t>
            </w:r>
          </w:p>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w:t>
            </w:r>
          </w:p>
        </w:tc>
        <w:tc>
          <w:tcPr>
            <w:tcW w:w="1564"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t>PESO</w:t>
            </w:r>
          </w:p>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w:t>
            </w:r>
          </w:p>
        </w:tc>
        <w:tc>
          <w:tcPr>
            <w:tcW w:w="203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(1) X (2)</w:t>
            </w:r>
          </w:p>
        </w:tc>
      </w:tr>
      <w:tr>
        <w:trPr>
          <w:trHeight w:val="300" w:hRule="atLeast"/>
          <w:cantSplit w:val="true"/>
        </w:trPr>
        <w:tc>
          <w:tcPr>
            <w:tcW w:w="4037"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ÍNDICE DE LIQUIDEZ CORRENTE – ILC</w:t>
            </w:r>
          </w:p>
        </w:tc>
        <w:tc>
          <w:tcPr>
            <w:tcW w:w="1565"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4"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203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37"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ÍNDICE DE LIQUIDEZ GERAL – ILG</w:t>
            </w:r>
          </w:p>
        </w:tc>
        <w:tc>
          <w:tcPr>
            <w:tcW w:w="1565"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4"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50</w:t>
            </w:r>
          </w:p>
        </w:tc>
        <w:tc>
          <w:tcPr>
            <w:tcW w:w="2030" w:type="dxa"/>
            <w:gridSpan w:val="8"/>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37" w:type="dxa"/>
            <w:gridSpan w:val="13"/>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VALOR PATRIMONIAL – VP</w:t>
            </w:r>
          </w:p>
        </w:tc>
        <w:tc>
          <w:tcPr>
            <w:tcW w:w="1565" w:type="dxa"/>
            <w:gridSpan w:val="5"/>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4" w:type="dxa"/>
            <w:gridSpan w:val="7"/>
            <w:tcBorders>
              <w:top w:val="single" w:sz="4" w:space="0" w:color="000080"/>
              <w:lef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2030" w:type="dxa"/>
            <w:gridSpan w:val="8"/>
            <w:tcBorders>
              <w:top w:val="single" w:sz="4" w:space="0" w:color="000080"/>
              <w:left w:val="single" w:sz="4" w:space="0" w:color="000080"/>
              <w:right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99" w:type="dxa"/>
            <w:gridSpan w:val="31"/>
            <w:tcBorders>
              <w:top w:val="single" w:sz="4"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63" w:type="dxa"/>
            <w:tcBorders/>
            <w:shd w:fill="auto" w:val="clear"/>
          </w:tcPr>
          <w:p>
            <w:pPr>
              <w:pStyle w:val="Normal1"/>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4" w:type="dxa"/>
            <w:tcBorders/>
            <w:shd w:fill="auto" w:val="clear"/>
          </w:tcPr>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2936" w:type="dxa"/>
            <w:gridSpan w:val="8"/>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TABELA PARA SE OBTER K5</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950" w:type="dxa"/>
            <w:gridSpan w:val="10"/>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TABELA PARA SE OBTER K6</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054" w:type="dxa"/>
            <w:gridSpan w:val="11"/>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TABELA PARA SE OBTER K7</w:t>
            </w:r>
          </w:p>
        </w:tc>
      </w:tr>
      <w:tr>
        <w:trPr>
          <w:trHeight w:val="300" w:hRule="atLeast"/>
          <w:cantSplit w:val="true"/>
        </w:trPr>
        <w:tc>
          <w:tcPr>
            <w:tcW w:w="2514" w:type="dxa"/>
            <w:gridSpan w:val="6"/>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DE ILC</w:t>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K5</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38"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DE ILG</w:t>
            </w:r>
          </w:p>
        </w:tc>
        <w:tc>
          <w:tcPr>
            <w:tcW w:w="41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K6</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5"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INTERVALO DE PONTOS DE VP</w:t>
            </w:r>
          </w:p>
        </w:tc>
        <w:tc>
          <w:tcPr>
            <w:tcW w:w="529"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K7</w:t>
            </w:r>
          </w:p>
        </w:tc>
      </w:tr>
      <w:tr>
        <w:trPr>
          <w:trHeight w:val="300" w:hRule="atLeast"/>
          <w:cantSplit w:val="true"/>
        </w:trPr>
        <w:tc>
          <w:tcPr>
            <w:tcW w:w="41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19"/>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19"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43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39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1,2</w:t>
            </w:r>
          </w:p>
        </w:tc>
        <w:tc>
          <w:tcPr>
            <w:tcW w:w="128"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0"/>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2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50</w:t>
            </w:r>
          </w:p>
        </w:tc>
        <w:tc>
          <w:tcPr>
            <w:tcW w:w="42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131" w:type="dxa"/>
            <w:gridSpan w:val="2"/>
            <w:vMerge w:val="restart"/>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10</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1"/>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41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594"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0,8</w:t>
            </w:r>
          </w:p>
        </w:tc>
      </w:tr>
      <w:tr>
        <w:trPr>
          <w:trHeight w:val="300" w:hRule="atLeast"/>
          <w:cantSplit w:val="true"/>
        </w:trPr>
        <w:tc>
          <w:tcPr>
            <w:tcW w:w="41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2"/>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19"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36</w:t>
            </w:r>
          </w:p>
        </w:tc>
        <w:tc>
          <w:tcPr>
            <w:tcW w:w="43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39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1,5</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3"/>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2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60</w:t>
            </w:r>
          </w:p>
        </w:tc>
        <w:tc>
          <w:tcPr>
            <w:tcW w:w="42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2,5</w:t>
            </w:r>
          </w:p>
        </w:tc>
        <w:tc>
          <w:tcPr>
            <w:tcW w:w="131"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20</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4"/>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24</w:t>
            </w:r>
          </w:p>
        </w:tc>
        <w:tc>
          <w:tcPr>
            <w:tcW w:w="41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594"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1,0</w:t>
            </w:r>
          </w:p>
        </w:tc>
      </w:tr>
      <w:tr>
        <w:trPr>
          <w:trHeight w:val="300" w:hRule="atLeast"/>
          <w:cantSplit w:val="true"/>
        </w:trPr>
        <w:tc>
          <w:tcPr>
            <w:tcW w:w="41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36</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5"/>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19"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39</w:t>
            </w:r>
          </w:p>
        </w:tc>
        <w:tc>
          <w:tcPr>
            <w:tcW w:w="43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39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1,8</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6"/>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2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65</w:t>
            </w:r>
          </w:p>
        </w:tc>
        <w:tc>
          <w:tcPr>
            <w:tcW w:w="42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3,0</w:t>
            </w:r>
          </w:p>
        </w:tc>
        <w:tc>
          <w:tcPr>
            <w:tcW w:w="131"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24</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7"/>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26</w:t>
            </w:r>
          </w:p>
        </w:tc>
        <w:tc>
          <w:tcPr>
            <w:tcW w:w="41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594"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1,2</w:t>
            </w:r>
          </w:p>
        </w:tc>
      </w:tr>
      <w:tr>
        <w:trPr>
          <w:trHeight w:val="300" w:hRule="atLeast"/>
          <w:cantSplit w:val="true"/>
        </w:trPr>
        <w:tc>
          <w:tcPr>
            <w:tcW w:w="41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39</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8"/>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19"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51</w:t>
            </w:r>
          </w:p>
        </w:tc>
        <w:tc>
          <w:tcPr>
            <w:tcW w:w="43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39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2,1</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65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29"/>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2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85</w:t>
            </w:r>
          </w:p>
        </w:tc>
        <w:tc>
          <w:tcPr>
            <w:tcW w:w="42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3,5</w:t>
            </w:r>
          </w:p>
        </w:tc>
        <w:tc>
          <w:tcPr>
            <w:tcW w:w="131"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position w:val="0"/>
                <w:sz w:val="24"/>
                <w:sz w:val="24"/>
                <w:vertAlign w:val="baseline"/>
              </w:rPr>
            </w:pPr>
            <w:r>
              <w:rPr>
                <w:position w:val="0"/>
                <w:sz w:val="24"/>
                <w:sz w:val="24"/>
                <w:vertAlign w:val="baseline"/>
              </w:rPr>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26</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30"/>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&lt;</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34</w:t>
            </w:r>
          </w:p>
        </w:tc>
        <w:tc>
          <w:tcPr>
            <w:tcW w:w="41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594" w:type="dxa"/>
            <w:gridSpan w:val="4"/>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1,4</w:t>
            </w:r>
          </w:p>
        </w:tc>
      </w:tr>
      <w:tr>
        <w:trPr>
          <w:trHeight w:val="300" w:hRule="atLeast"/>
          <w:cantSplit w:val="true"/>
        </w:trPr>
        <w:tc>
          <w:tcPr>
            <w:tcW w:w="41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ILC</w:t>
            </w:r>
          </w:p>
        </w:tc>
        <w:tc>
          <w:tcPr>
            <w:tcW w:w="419"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31"/>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51</w:t>
            </w:r>
          </w:p>
        </w:tc>
        <w:tc>
          <w:tcPr>
            <w:tcW w:w="437"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399" w:type="dxa"/>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2,4</w:t>
            </w:r>
          </w:p>
        </w:tc>
        <w:tc>
          <w:tcPr>
            <w:tcW w:w="128"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ILG</w:t>
            </w:r>
          </w:p>
        </w:tc>
        <w:tc>
          <w:tcPr>
            <w:tcW w:w="420"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32"/>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85</w:t>
            </w:r>
          </w:p>
        </w:tc>
        <w:tc>
          <w:tcPr>
            <w:tcW w:w="421" w:type="dxa"/>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414" w:type="dxa"/>
            <w:gridSpan w:val="2"/>
            <w:tcBorders>
              <w:top w:val="single" w:sz="8" w:space="0" w:color="000080"/>
              <w:left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4,0</w:t>
            </w:r>
          </w:p>
        </w:tc>
        <w:tc>
          <w:tcPr>
            <w:tcW w:w="131" w:type="dxa"/>
            <w:gridSpan w:val="2"/>
            <w:tcBorders>
              <w:left w:val="single" w:sz="8"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2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VP</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sdt>
              <w:sdtPr>
                <w:tag w:val="goog_rdk_33"/>
              </w:sdtPr>
              <w:sdtContent>
                <w:r>
                  <w:rPr>
                    <w:rFonts w:eastAsia="Arial Unicode MS" w:cs="Arial Unicode MS" w:ascii="Arial Unicode MS" w:hAnsi="Arial Unicode MS"/>
                    <w:b/>
                    <w:position w:val="0"/>
                    <w:sz w:val="20"/>
                    <w:sz w:val="20"/>
                    <w:szCs w:val="20"/>
                    <w:highlight w:val="white"/>
                    <w:vertAlign w:val="baseline"/>
                  </w:rPr>
                </w:r>
                <w:r>
                  <w:rPr>
                    <w:rFonts w:eastAsia="Arial Unicode MS" w:cs="Arial Unicode MS" w:ascii="Arial Unicode MS" w:hAnsi="Arial Unicode MS"/>
                    <w:b/>
                    <w:position w:val="0"/>
                    <w:sz w:val="20"/>
                    <w:sz w:val="20"/>
                    <w:szCs w:val="20"/>
                    <w:highlight w:val="white"/>
                    <w:vertAlign w:val="baseline"/>
                  </w:rPr>
                  <w:t>≥</w:t>
                </w:r>
              </w:sdtContent>
            </w:sdt>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34</w:t>
            </w:r>
          </w:p>
        </w:tc>
        <w:tc>
          <w:tcPr>
            <w:tcW w:w="419" w:type="dxa"/>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w:t>
            </w:r>
          </w:p>
        </w:tc>
        <w:tc>
          <w:tcPr>
            <w:tcW w:w="594" w:type="dxa"/>
            <w:gridSpan w:val="4"/>
            <w:tcBorders>
              <w:top w:val="single" w:sz="8" w:space="0" w:color="000080"/>
              <w:left w:val="single" w:sz="8" w:space="0" w:color="000080"/>
              <w:right w:val="single" w:sz="4" w:space="0" w:color="000080"/>
            </w:tcBorders>
            <w:shd w:fill="auto" w:val="clear"/>
            <w:vAlign w:val="center"/>
          </w:tcPr>
          <w:p>
            <w:pPr>
              <w:pStyle w:val="Normal1"/>
              <w:widowControl w:val="false"/>
              <w:spacing w:lineRule="auto" w:line="240" w:before="57" w:after="0"/>
              <w:jc w:val="center"/>
              <w:rPr>
                <w:position w:val="0"/>
                <w:sz w:val="24"/>
                <w:sz w:val="24"/>
                <w:vertAlign w:val="baseline"/>
              </w:rPr>
            </w:pPr>
            <w:r>
              <w:rPr>
                <w:rFonts w:eastAsia="Arial" w:cs="Arial" w:ascii="Arial" w:hAnsi="Arial"/>
                <w:b/>
                <w:position w:val="0"/>
                <w:sz w:val="20"/>
                <w:sz w:val="20"/>
                <w:szCs w:val="20"/>
                <w:highlight w:val="white"/>
                <w:vertAlign w:val="baseline"/>
              </w:rPr>
              <w:t>1,6</w:t>
            </w:r>
          </w:p>
        </w:tc>
      </w:tr>
      <w:tr>
        <w:trPr>
          <w:trHeight w:val="300" w:hRule="atLeast"/>
          <w:cantSplit w:val="true"/>
        </w:trPr>
        <w:tc>
          <w:tcPr>
            <w:tcW w:w="2514" w:type="dxa"/>
            <w:gridSpan w:val="6"/>
            <w:tcBorders>
              <w:top w:val="single" w:sz="8" w:space="0" w:color="000080"/>
              <w:left w:val="single" w:sz="4" w:space="0" w:color="000080"/>
              <w:bottom w:val="single" w:sz="8"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b/>
                <w:position w:val="0"/>
                <w:sz w:val="20"/>
                <w:sz w:val="20"/>
                <w:szCs w:val="20"/>
                <w:highlight w:val="white"/>
                <w:vertAlign w:val="baseline"/>
              </w:rPr>
              <w:t>VALOR ASSUMIDO PARA K5 =</w:t>
            </w:r>
          </w:p>
        </w:tc>
        <w:tc>
          <w:tcPr>
            <w:tcW w:w="422"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28"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38"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b/>
                <w:position w:val="0"/>
                <w:sz w:val="20"/>
                <w:sz w:val="20"/>
                <w:szCs w:val="20"/>
                <w:highlight w:val="white"/>
                <w:vertAlign w:val="baseline"/>
              </w:rPr>
              <w:t>VALOR ASSUMIDO PARA K6 =</w:t>
            </w:r>
          </w:p>
        </w:tc>
        <w:tc>
          <w:tcPr>
            <w:tcW w:w="412"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28" w:type="dxa"/>
            <w:gridSpan w:val="2"/>
            <w:tcBorders>
              <w:left w:val="single" w:sz="12" w:space="0" w:color="000080"/>
            </w:tcBorders>
            <w:shd w:fill="auto" w:val="clea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5"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pacing w:lineRule="auto" w:line="240" w:before="57" w:after="0"/>
              <w:jc w:val="right"/>
              <w:rPr>
                <w:position w:val="0"/>
                <w:sz w:val="24"/>
                <w:sz w:val="24"/>
                <w:vertAlign w:val="baseline"/>
              </w:rPr>
            </w:pPr>
            <w:r>
              <w:rPr>
                <w:rFonts w:eastAsia="Arial" w:cs="Arial" w:ascii="Arial" w:hAnsi="Arial"/>
                <w:b/>
                <w:position w:val="0"/>
                <w:sz w:val="20"/>
                <w:sz w:val="20"/>
                <w:szCs w:val="20"/>
                <w:highlight w:val="white"/>
                <w:vertAlign w:val="baseline"/>
              </w:rPr>
              <w:t>VALOR ASSUMIDO PARA K7 =</w:t>
            </w:r>
          </w:p>
        </w:tc>
        <w:tc>
          <w:tcPr>
            <w:tcW w:w="529" w:type="dxa"/>
            <w:gridSpan w:val="3"/>
            <w:tcBorders>
              <w:top w:val="single" w:sz="12" w:space="0" w:color="000080"/>
              <w:left w:val="single" w:sz="12" w:space="0" w:color="000080"/>
              <w:bottom w:val="single" w:sz="12" w:space="0" w:color="000080"/>
              <w:right w:val="single" w:sz="12" w:space="0" w:color="000080"/>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99" w:type="dxa"/>
            <w:gridSpan w:val="31"/>
            <w:tcBorders/>
            <w:shd w:fill="auto" w:val="clear"/>
            <w:vAlign w:val="center"/>
          </w:tcPr>
          <w:p>
            <w:pPr>
              <w:pStyle w:val="Normal1"/>
              <w:widowControl w:val="false"/>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63" w:type="dxa"/>
            <w:tcBorders/>
            <w:shd w:fill="auto" w:val="clear"/>
          </w:tcPr>
          <w:p>
            <w:pPr>
              <w:pStyle w:val="Normal1"/>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4" w:type="dxa"/>
            <w:tcBorders/>
            <w:shd w:fill="auto" w:val="clear"/>
          </w:tcPr>
          <w:p>
            <w:pPr>
              <w:pStyle w:val="Normal1"/>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bl>
    <w:p>
      <w:pPr>
        <w:pStyle w:val="Normal1"/>
        <w:widowControl w:val="false"/>
        <w:tabs>
          <w:tab w:val="clear" w:pos="720"/>
          <w:tab w:val="left" w:pos="1986" w:leader="none"/>
        </w:tabs>
        <w:spacing w:lineRule="auto" w:line="240" w:before="57" w:after="0"/>
        <w:ind w:hanging="0" w:left="993"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Sendo:</w:t>
      </w:r>
    </w:p>
    <w:tbl>
      <w:tblPr>
        <w:tblStyle w:val="Table83"/>
        <w:tblW w:w="2977" w:type="dxa"/>
        <w:jc w:val="left"/>
        <w:tblInd w:w="-70" w:type="dxa"/>
        <w:tblLayout w:type="fixed"/>
        <w:tblCellMar>
          <w:top w:w="0" w:type="dxa"/>
          <w:left w:w="108" w:type="dxa"/>
          <w:bottom w:w="0" w:type="dxa"/>
          <w:right w:w="108" w:type="dxa"/>
        </w:tblCellMar>
        <w:tblLook w:val="0000"/>
      </w:tblPr>
      <w:tblGrid>
        <w:gridCol w:w="709"/>
        <w:gridCol w:w="2267"/>
      </w:tblGrid>
      <w:tr>
        <w:trPr>
          <w:cantSplit w:val="true"/>
        </w:trPr>
        <w:tc>
          <w:tcPr>
            <w:tcW w:w="709" w:type="dxa"/>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Kf =</w:t>
            </w:r>
          </w:p>
        </w:tc>
        <w:tc>
          <w:tcPr>
            <w:tcW w:w="2267" w:type="dxa"/>
            <w:tcBorders/>
            <w:shd w:fill="auto" w:val="clear"/>
            <w:vAlign w:val="center"/>
          </w:tcPr>
          <w:p>
            <w:pPr>
              <w:pStyle w:val="Normal1"/>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Coeficiente Financeiro</w:t>
            </w:r>
          </w:p>
        </w:tc>
      </w:tr>
      <w:tr>
        <w:trPr>
          <w:cantSplit w:val="true"/>
        </w:trPr>
        <w:tc>
          <w:tcPr>
            <w:tcW w:w="709" w:type="dxa"/>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Kf =</w:t>
            </w:r>
          </w:p>
        </w:tc>
        <w:tc>
          <w:tcPr>
            <w:tcW w:w="2267" w:type="dxa"/>
            <w:tcBorders/>
            <w:shd w:fill="auto" w:val="clear"/>
            <w:vAlign w:val="center"/>
          </w:tcPr>
          <w:p>
            <w:pPr>
              <w:pStyle w:val="Normal1"/>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K5 + K6 + K7</w:t>
            </w:r>
          </w:p>
        </w:tc>
      </w:tr>
      <w:tr>
        <w:trPr>
          <w:cantSplit w:val="true"/>
        </w:trPr>
        <w:tc>
          <w:tcPr>
            <w:tcW w:w="2976" w:type="dxa"/>
            <w:gridSpan w:val="2"/>
            <w:tcBorders/>
            <w:shd w:fill="auto" w:val="clear"/>
            <w:vAlign w:val="center"/>
          </w:tcPr>
          <w:p>
            <w:pPr>
              <w:pStyle w:val="Normal1"/>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986" w:leader="none"/>
        </w:tabs>
        <w:spacing w:lineRule="auto" w:line="240" w:before="57" w:after="0"/>
        <w:ind w:hanging="576" w:left="993"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Disponibilidade Financeira Operacional:</w:t>
      </w:r>
    </w:p>
    <w:tbl>
      <w:tblPr>
        <w:tblStyle w:val="Table84"/>
        <w:tblW w:w="4533" w:type="dxa"/>
        <w:jc w:val="left"/>
        <w:tblInd w:w="-70" w:type="dxa"/>
        <w:tblLayout w:type="fixed"/>
        <w:tblCellMar>
          <w:top w:w="0" w:type="dxa"/>
          <w:left w:w="108" w:type="dxa"/>
          <w:bottom w:w="0" w:type="dxa"/>
          <w:right w:w="108" w:type="dxa"/>
        </w:tblCellMar>
        <w:tblLook w:val="0000"/>
      </w:tblPr>
      <w:tblGrid>
        <w:gridCol w:w="703"/>
        <w:gridCol w:w="3829"/>
      </w:tblGrid>
      <w:tr>
        <w:trPr>
          <w:cantSplit w:val="true"/>
        </w:trPr>
        <w:tc>
          <w:tcPr>
            <w:tcW w:w="703" w:type="dxa"/>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D =</w:t>
            </w:r>
          </w:p>
        </w:tc>
        <w:tc>
          <w:tcPr>
            <w:tcW w:w="3829" w:type="dxa"/>
            <w:tcBorders/>
            <w:shd w:fill="auto" w:val="clear"/>
            <w:vAlign w:val="center"/>
          </w:tcPr>
          <w:p>
            <w:pPr>
              <w:pStyle w:val="Normal1"/>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Disponibilidade Financeira Operacional</w:t>
            </w:r>
          </w:p>
        </w:tc>
      </w:tr>
      <w:tr>
        <w:trPr>
          <w:cantSplit w:val="true"/>
        </w:trPr>
        <w:tc>
          <w:tcPr>
            <w:tcW w:w="703" w:type="dxa"/>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D =</w:t>
            </w:r>
          </w:p>
        </w:tc>
        <w:tc>
          <w:tcPr>
            <w:tcW w:w="3829" w:type="dxa"/>
            <w:tcBorders/>
            <w:shd w:fill="auto" w:val="clear"/>
            <w:vAlign w:val="center"/>
          </w:tcPr>
          <w:p>
            <w:pPr>
              <w:pStyle w:val="Normal1"/>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1,25 x Kf x PL – SC</w:t>
            </w:r>
          </w:p>
        </w:tc>
      </w:tr>
      <w:tr>
        <w:trPr>
          <w:cantSplit w:val="true"/>
        </w:trPr>
        <w:tc>
          <w:tcPr>
            <w:tcW w:w="4532" w:type="dxa"/>
            <w:gridSpan w:val="2"/>
            <w:tcBorders/>
            <w:shd w:fill="auto" w:val="clear"/>
            <w:vAlign w:val="center"/>
          </w:tcPr>
          <w:p>
            <w:pPr>
              <w:pStyle w:val="Normal1"/>
              <w:widowControl w:val="false"/>
              <w:spacing w:lineRule="auto" w:line="240" w:before="57" w:after="0"/>
              <w:ind w:hanging="0" w:left="-70"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986" w:leader="none"/>
        </w:tabs>
        <w:spacing w:lineRule="auto" w:line="240" w:before="57" w:after="0"/>
        <w:ind w:hanging="0" w:left="993"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Onde:</w:t>
      </w:r>
    </w:p>
    <w:tbl>
      <w:tblPr>
        <w:tblStyle w:val="Table85"/>
        <w:tblW w:w="8218" w:type="dxa"/>
        <w:jc w:val="left"/>
        <w:tblInd w:w="-70" w:type="dxa"/>
        <w:tblLayout w:type="fixed"/>
        <w:tblCellMar>
          <w:top w:w="0" w:type="dxa"/>
          <w:left w:w="108" w:type="dxa"/>
          <w:bottom w:w="0" w:type="dxa"/>
          <w:right w:w="108" w:type="dxa"/>
        </w:tblCellMar>
        <w:tblLook w:val="0000"/>
      </w:tblPr>
      <w:tblGrid>
        <w:gridCol w:w="705"/>
        <w:gridCol w:w="7512"/>
      </w:tblGrid>
      <w:tr>
        <w:trPr>
          <w:cantSplit w:val="true"/>
        </w:trPr>
        <w:tc>
          <w:tcPr>
            <w:tcW w:w="705" w:type="dxa"/>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PL =</w:t>
            </w:r>
          </w:p>
        </w:tc>
        <w:tc>
          <w:tcPr>
            <w:tcW w:w="7512" w:type="dxa"/>
            <w:tcBorders/>
            <w:shd w:fill="auto" w:val="clear"/>
            <w:vAlign w:val="center"/>
          </w:tcPr>
          <w:p>
            <w:pPr>
              <w:pStyle w:val="Normal1"/>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Patrimônio Líquido</w:t>
            </w:r>
          </w:p>
        </w:tc>
      </w:tr>
      <w:tr>
        <w:trPr>
          <w:cantSplit w:val="true"/>
        </w:trPr>
        <w:tc>
          <w:tcPr>
            <w:tcW w:w="705" w:type="dxa"/>
            <w:tcBorders/>
            <w:shd w:fill="auto" w:val="clear"/>
            <w:vAlign w:val="cente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SC =</w:t>
            </w:r>
          </w:p>
        </w:tc>
        <w:tc>
          <w:tcPr>
            <w:tcW w:w="7512" w:type="dxa"/>
            <w:tcBorders/>
            <w:shd w:fill="auto" w:val="clear"/>
            <w:vAlign w:val="center"/>
          </w:tcPr>
          <w:p>
            <w:pPr>
              <w:pStyle w:val="Normal1"/>
              <w:spacing w:lineRule="auto" w:line="240" w:before="57" w:after="0"/>
              <w:rPr>
                <w:position w:val="0"/>
                <w:sz w:val="24"/>
                <w:sz w:val="24"/>
                <w:vertAlign w:val="baseline"/>
              </w:rPr>
            </w:pPr>
            <w:r>
              <w:rPr>
                <w:rFonts w:eastAsia="Arial" w:cs="Arial" w:ascii="Arial" w:hAnsi="Arial"/>
                <w:position w:val="0"/>
                <w:sz w:val="20"/>
                <w:sz w:val="20"/>
                <w:szCs w:val="20"/>
                <w:highlight w:val="white"/>
                <w:vertAlign w:val="baseline"/>
              </w:rPr>
              <w:t>Saldo Contratual, conforme Anexo XI</w:t>
            </w:r>
          </w:p>
        </w:tc>
      </w:tr>
      <w:tr>
        <w:trPr>
          <w:trHeight w:val="720" w:hRule="atLeast"/>
          <w:cantSplit w:val="true"/>
        </w:trPr>
        <w:tc>
          <w:tcPr>
            <w:tcW w:w="705" w:type="dxa"/>
            <w:tcBorders/>
            <w:shd w:fill="auto" w:val="clear"/>
          </w:tcPr>
          <w:p>
            <w:pPr>
              <w:pStyle w:val="Normal1"/>
              <w:spacing w:lineRule="auto" w:line="240" w:before="57" w:after="0"/>
              <w:ind w:hanging="0" w:left="85" w:right="0"/>
              <w:rPr>
                <w:position w:val="0"/>
                <w:sz w:val="24"/>
                <w:sz w:val="24"/>
                <w:vertAlign w:val="baseline"/>
              </w:rPr>
            </w:pPr>
            <w:r>
              <w:rPr>
                <w:rFonts w:eastAsia="Arial" w:cs="Arial" w:ascii="Arial" w:hAnsi="Arial"/>
                <w:position w:val="0"/>
                <w:sz w:val="20"/>
                <w:sz w:val="20"/>
                <w:szCs w:val="20"/>
                <w:highlight w:val="white"/>
                <w:vertAlign w:val="baseline"/>
              </w:rPr>
              <w:t>SC =</w:t>
            </w:r>
          </w:p>
        </w:tc>
        <w:tc>
          <w:tcPr>
            <w:tcW w:w="7512" w:type="dxa"/>
            <w:tcBorders/>
            <w:shd w:fill="auto" w:val="clear"/>
            <w:vAlign w:val="center"/>
          </w:tcPr>
          <w:p>
            <w:pPr>
              <w:pStyle w:val="Normal1"/>
              <w:spacing w:lineRule="auto" w:line="240" w:before="57" w:after="0"/>
              <w:rPr>
                <w:position w:val="0"/>
                <w:sz w:val="24"/>
                <w:sz w:val="24"/>
                <w:vertAlign w:val="baseline"/>
              </w:rPr>
            </w:pPr>
            <w:sdt>
              <w:sdtPr>
                <w:tag w:val="goog_rdk_34"/>
              </w:sdtPr>
              <w:sdtContent>
                <w:r>
                  <w:rPr>
                    <w:rFonts w:eastAsia="Arial Unicode MS" w:cs="Arial Unicode MS" w:ascii="Arial Unicode MS" w:hAnsi="Arial Unicode MS"/>
                    <w:position w:val="0"/>
                    <w:sz w:val="20"/>
                    <w:sz w:val="20"/>
                    <w:szCs w:val="20"/>
                    <w:highlight w:val="white"/>
                    <w:vertAlign w:val="baseline"/>
                  </w:rPr>
                </w:r>
                <w:r>
                  <w:rPr>
                    <w:rFonts w:eastAsia="Arial Unicode MS" w:cs="Arial Unicode MS" w:ascii="Arial Unicode MS" w:hAnsi="Arial Unicode MS"/>
                    <w:position w:val="0"/>
                    <w:sz w:val="20"/>
                    <w:sz w:val="20"/>
                    <w:szCs w:val="20"/>
                    <w:highlight w:val="white"/>
                    <w:vertAlign w:val="baseline"/>
                  </w:rPr>
                  <w:t xml:space="preserve">∑ </w:t>
                </w:r>
                <w:r>
                  <w:rPr>
                    <w:rFonts w:eastAsia="Arial Unicode MS" w:cs="Arial Unicode MS" w:ascii="Arial Unicode MS" w:hAnsi="Arial Unicode MS"/>
                    <w:position w:val="0"/>
                    <w:sz w:val="20"/>
                    <w:sz w:val="20"/>
                    <w:szCs w:val="20"/>
                    <w:highlight w:val="white"/>
                    <w:vertAlign w:val="baseline"/>
                  </w:rPr>
                  <w:t>Valor do compromisso – ∑ Valor já faturado, isto é, a diferença entre a somatória dos compromissos e a somatória dos valores já faturados referentes aos compromissos.</w:t>
                </w:r>
              </w:sdtContent>
            </w:sdt>
          </w:p>
        </w:tc>
      </w:tr>
      <w:tr>
        <w:trPr>
          <w:cantSplit w:val="true"/>
        </w:trPr>
        <w:tc>
          <w:tcPr>
            <w:tcW w:w="8217" w:type="dxa"/>
            <w:gridSpan w:val="2"/>
            <w:tcBorders/>
            <w:shd w:fill="auto" w:val="clear"/>
            <w:vAlign w:val="center"/>
          </w:tcPr>
          <w:p>
            <w:pPr>
              <w:pStyle w:val="Normal1"/>
              <w:widowControl w:val="false"/>
              <w:spacing w:lineRule="auto" w:line="240" w:before="57" w:after="0"/>
              <w:ind w:hanging="0" w:left="-70"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 Disponibilidade Financeira deverá ser maior ou igual ao valor da proposta do Licitante, e deverá ser recalculada e entregue na assinatura do contrato. Para isso deverá ser entregue pelo licitante vencedor um novo Quadro, conforme</w:t>
      </w:r>
      <w:r>
        <w:rPr>
          <w:rFonts w:eastAsia="Arial" w:cs="Arial" w:ascii="Arial" w:hAnsi="Arial"/>
          <w:position w:val="0"/>
          <w:sz w:val="20"/>
          <w:sz w:val="20"/>
          <w:szCs w:val="20"/>
          <w:vertAlign w:val="baseline"/>
        </w:rPr>
        <w:t xml:space="preserve"> Anexo IX e</w:t>
      </w:r>
      <w:r>
        <w:rPr>
          <w:rFonts w:eastAsia="Arial" w:cs="Arial" w:ascii="Arial" w:hAnsi="Arial"/>
          <w:position w:val="0"/>
          <w:sz w:val="20"/>
          <w:sz w:val="20"/>
          <w:szCs w:val="20"/>
          <w:highlight w:val="white"/>
          <w:vertAlign w:val="baseline"/>
        </w:rPr>
        <w:t xml:space="preserve"> Memorial de Cálculo da Disponibilidade Financeira Operacional.</w:t>
      </w:r>
    </w:p>
    <w:p>
      <w:pPr>
        <w:pStyle w:val="Normal1"/>
        <w:widowControl w:val="false"/>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As fórmulas indicadas deverão estar devidamente aplicadas em memorial de cálculos juntado ao balanço.</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Na ocorrência de algum equívoco na elaboração destes cálculos, tendo o licitante fornecido dados que possibilitem a correção dos mesmos, não será motivo de inabilitação.</w:t>
      </w:r>
    </w:p>
    <w:p>
      <w:pPr>
        <w:pStyle w:val="Normal1"/>
        <w:widowControl w:val="false"/>
        <w:numPr>
          <w:ilvl w:val="1"/>
          <w:numId w:val="3"/>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Na ocorrência de algum equívoco na elaboração destes cálculos, tendo o licitante fornecido dados que possibilitem a correção dos mesmos, não será motivo de inabilitação.</w:t>
      </w:r>
    </w:p>
    <w:p>
      <w:pPr>
        <w:pStyle w:val="Normal1"/>
        <w:widowControl w:val="false"/>
        <w:numPr>
          <w:ilvl w:val="0"/>
          <w:numId w:val="3"/>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Declaração de Atendimento aos Requisitos de Habilitação e Capacidade Operacional Financeira com os compromissos assumidos pelo licitante que importem diminuição da capacidade operativa ou absorção de disponibilidade financeira, calculada esta em função do patrimônio líquido atualizado e sua capacidade de rotação</w:t>
      </w:r>
      <w:r>
        <w:rPr>
          <w:rFonts w:eastAsia="Arial" w:cs="Arial" w:ascii="Arial" w:hAnsi="Arial"/>
          <w:position w:val="0"/>
          <w:sz w:val="20"/>
          <w:sz w:val="20"/>
          <w:szCs w:val="20"/>
          <w:vertAlign w:val="baseline"/>
        </w:rPr>
        <w:t xml:space="preserve"> (Anexo IX).</w:t>
      </w:r>
    </w:p>
    <w:p>
      <w:pPr>
        <w:pStyle w:val="Normal1"/>
        <w:widowControl w:val="false"/>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851" w:leader="none"/>
        </w:tabs>
        <w:spacing w:lineRule="auto" w:line="240" w:before="0" w:after="57"/>
        <w:jc w:val="both"/>
        <w:rPr>
          <w:b/>
          <w:position w:val="0"/>
          <w:sz w:val="20"/>
          <w:sz w:val="20"/>
          <w:szCs w:val="20"/>
          <w:vertAlign w:val="baseline"/>
        </w:rPr>
      </w:pPr>
      <w:r>
        <w:rPr>
          <w:rFonts w:ascii="Arial" w:hAnsi="Arial"/>
          <w:b/>
          <w:color w:val="000000"/>
          <w:position w:val="0"/>
          <w:sz w:val="20"/>
          <w:sz w:val="20"/>
          <w:szCs w:val="20"/>
          <w:vertAlign w:val="baseline"/>
        </w:rPr>
        <w:t>1.4.3.1</w:t>
      </w:r>
      <w:r>
        <w:rPr>
          <w:rFonts w:ascii="Arial" w:hAnsi="Arial"/>
          <w:color w:val="000000"/>
          <w:position w:val="0"/>
          <w:sz w:val="20"/>
          <w:sz w:val="20"/>
          <w:szCs w:val="20"/>
          <w:vertAlign w:val="baseline"/>
        </w:rPr>
        <w:t xml:space="preserve"> </w:t>
      </w:r>
      <w:r>
        <w:rPr>
          <w:rFonts w:eastAsia="Arial" w:cs="Arial" w:ascii="Arial" w:hAnsi="Arial"/>
          <w:color w:val="000000"/>
          <w:position w:val="0"/>
          <w:sz w:val="20"/>
          <w:sz w:val="20"/>
          <w:szCs w:val="20"/>
          <w:highlight w:val="white"/>
          <w:vertAlign w:val="baseline"/>
        </w:rPr>
        <w:t>As empresas DEVERÃO APRESENTAR OS ÍNDICES JÁ CALCULADOS, com assinatura do contador e do representante legal da empresa, que serão analisados com base no balanço apresentado.</w:t>
      </w:r>
    </w:p>
    <w:tbl>
      <w:tblPr>
        <w:tblStyle w:val="Table86"/>
        <w:tblW w:w="9085" w:type="dxa"/>
        <w:jc w:val="left"/>
        <w:tblInd w:w="-55" w:type="dxa"/>
        <w:tblLayout w:type="fixed"/>
        <w:tblCellMar>
          <w:top w:w="0" w:type="dxa"/>
          <w:left w:w="108" w:type="dxa"/>
          <w:bottom w:w="0" w:type="dxa"/>
          <w:right w:w="108" w:type="dxa"/>
        </w:tblCellMar>
        <w:tblLook w:val="0000"/>
      </w:tblPr>
      <w:tblGrid>
        <w:gridCol w:w="9085"/>
      </w:tblGrid>
      <w:tr>
        <w:trPr>
          <w:trHeight w:val="1762" w:hRule="atLeast"/>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46</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r>
          </w:p>
          <w:p>
            <w:pPr>
              <w:pStyle w:val="Normal1"/>
              <w:keepNext w:val="true"/>
              <w:keepLines w:val="false"/>
              <w:widowControl/>
              <w:shd w:val="clear" w:fill="FFFF00"/>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Os índices ILG, ILC e GE deste Edital são meramente exemplificativos, e deverão ser estabelecidos conforme o porte da obra, com a devida justificativa pelo setor competente do órgão licitante.</w:t>
            </w:r>
          </w:p>
        </w:tc>
      </w:tr>
    </w:tbl>
    <w:p>
      <w:pPr>
        <w:pStyle w:val="Normal1"/>
        <w:widowControl w:val="false"/>
        <w:tabs>
          <w:tab w:val="clear" w:pos="720"/>
          <w:tab w:val="left" w:pos="567" w:leader="none"/>
        </w:tabs>
        <w:spacing w:lineRule="auto" w:line="240" w:before="0" w:after="57"/>
        <w:jc w:val="both"/>
        <w:rPr>
          <w:position w:val="0"/>
          <w:sz w:val="24"/>
          <w:sz w:val="24"/>
          <w:vertAlign w:val="baseline"/>
        </w:rPr>
      </w:pPr>
      <w:r>
        <w:rPr>
          <w:position w:val="0"/>
          <w:sz w:val="24"/>
          <w:sz w:val="24"/>
          <w:vertAlign w:val="baseline"/>
        </w:rPr>
      </w:r>
    </w:p>
    <w:p>
      <w:pPr>
        <w:pStyle w:val="Normal1"/>
        <w:widowControl w:val="false"/>
        <w:tabs>
          <w:tab w:val="clear" w:pos="720"/>
          <w:tab w:val="left" w:pos="567" w:leader="none"/>
        </w:tabs>
        <w:spacing w:lineRule="auto" w:line="240" w:before="0" w:after="57"/>
        <w:jc w:val="both"/>
        <w:rPr>
          <w:b/>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1.4.3.2. </w:t>
      </w:r>
      <w:r>
        <w:rPr>
          <w:rFonts w:eastAsia="Arial" w:cs="Arial" w:ascii="Arial" w:hAnsi="Arial"/>
          <w:color w:val="000000"/>
          <w:position w:val="0"/>
          <w:sz w:val="20"/>
          <w:sz w:val="20"/>
          <w:szCs w:val="20"/>
          <w:highlight w:val="white"/>
          <w:vertAlign w:val="baseline"/>
        </w:rPr>
        <w:t>As empresas, cadastradas ou não no Portal Nacional de Contratações Pública (PNCP), deverão apresentar resultado: superior ou igual a [</w:t>
      </w:r>
      <w:r>
        <w:rPr>
          <w:rFonts w:eastAsia="Arial" w:cs="Arial" w:ascii="Arial" w:hAnsi="Arial"/>
          <w:color w:val="000000"/>
          <w:position w:val="0"/>
          <w:sz w:val="20"/>
          <w:sz w:val="20"/>
          <w:szCs w:val="20"/>
          <w:highlight w:val="yellow"/>
          <w:vertAlign w:val="baseline"/>
        </w:rPr>
        <w:t>XXXX]</w:t>
      </w:r>
      <w:r>
        <w:rPr>
          <w:rFonts w:eastAsia="Arial" w:cs="Arial" w:ascii="Arial" w:hAnsi="Arial"/>
          <w:color w:val="000000"/>
          <w:position w:val="0"/>
          <w:sz w:val="20"/>
          <w:sz w:val="20"/>
          <w:szCs w:val="20"/>
          <w:highlight w:val="white"/>
          <w:vertAlign w:val="baseline"/>
        </w:rPr>
        <w:t xml:space="preserve"> no índice de Liquidez Geral (LG); superior ou igual a [</w:t>
      </w:r>
      <w:r>
        <w:rPr>
          <w:rFonts w:eastAsia="Arial" w:cs="Arial" w:ascii="Arial" w:hAnsi="Arial"/>
          <w:color w:val="000000"/>
          <w:position w:val="0"/>
          <w:sz w:val="20"/>
          <w:sz w:val="20"/>
          <w:szCs w:val="20"/>
          <w:highlight w:val="yellow"/>
          <w:vertAlign w:val="baseline"/>
        </w:rPr>
        <w:t>XXXX]</w:t>
      </w:r>
      <w:r>
        <w:rPr>
          <w:rFonts w:eastAsia="Arial" w:cs="Arial" w:ascii="Arial" w:hAnsi="Arial"/>
          <w:color w:val="000000"/>
          <w:position w:val="0"/>
          <w:sz w:val="20"/>
          <w:sz w:val="20"/>
          <w:szCs w:val="20"/>
          <w:highlight w:val="white"/>
          <w:vertAlign w:val="baseline"/>
        </w:rPr>
        <w:t xml:space="preserve"> no índice de Solvência Geral (SG); superior ou igual a [</w:t>
      </w:r>
      <w:r>
        <w:rPr>
          <w:rFonts w:eastAsia="Arial" w:cs="Arial" w:ascii="Arial" w:hAnsi="Arial"/>
          <w:color w:val="000000"/>
          <w:position w:val="0"/>
          <w:sz w:val="20"/>
          <w:sz w:val="20"/>
          <w:szCs w:val="20"/>
          <w:highlight w:val="yellow"/>
          <w:vertAlign w:val="baseline"/>
        </w:rPr>
        <w:t>XXXX]</w:t>
      </w:r>
      <w:r>
        <w:rPr>
          <w:rFonts w:eastAsia="Arial" w:cs="Arial" w:ascii="Arial" w:hAnsi="Arial"/>
          <w:color w:val="000000"/>
          <w:position w:val="0"/>
          <w:sz w:val="20"/>
          <w:sz w:val="20"/>
          <w:szCs w:val="20"/>
          <w:highlight w:val="white"/>
          <w:vertAlign w:val="baseline"/>
        </w:rPr>
        <w:t xml:space="preserve"> no índice de Liquidez Corrente (LC).</w:t>
      </w:r>
    </w:p>
    <w:tbl>
      <w:tblPr>
        <w:tblStyle w:val="Table87"/>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r>
          </w:p>
          <w:p>
            <w:pPr>
              <w:pStyle w:val="Normal1"/>
              <w:shd w:val="clear" w:fill="FFFF00"/>
              <w:spacing w:lineRule="auto" w:line="240" w:before="57" w:after="0"/>
              <w:jc w:val="both"/>
              <w:rPr>
                <w:position w:val="0"/>
                <w:sz w:val="24"/>
                <w:sz w:val="24"/>
                <w:vertAlign w:val="baseline"/>
              </w:rPr>
            </w:pPr>
            <w:r>
              <w:rPr>
                <w:rFonts w:eastAsia="Arial" w:cs="Arial" w:ascii="Arial" w:hAnsi="Arial"/>
                <w:color w:val="000000"/>
                <w:position w:val="0"/>
                <w:sz w:val="20"/>
                <w:sz w:val="20"/>
                <w:szCs w:val="20"/>
                <w:highlight w:val="yellow"/>
                <w:vertAlign w:val="baseline"/>
              </w:rPr>
              <w:t>Compete à Administração Pública definir os índices escolhidos, justificando de forma expressa no protocolado, por meio de estudos técnicos, vedada a exigência de índices e valores não usualmente adotados para a correta avaliação da situação financeira do licitante, suficiente ao cumprimento das obrigações decorrentes da licitação. A exigência de índices contábeis de capacidade financeira, a exemplo dos de liquidez, deve estar justificada no processo da licitação, conter parâmetros atualizados de mercado e atender às características do objeto licitado, sendo vedado o uso de índice cuja fórmula inclua rentabilidade ou lucratividade.</w:t>
            </w:r>
          </w:p>
        </w:tc>
      </w:tr>
    </w:tbl>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tabs>
          <w:tab w:val="clear" w:pos="720"/>
          <w:tab w:val="left" w:pos="567"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 xml:space="preserve">1.4.4 </w:t>
      </w:r>
      <w:r>
        <w:rPr>
          <w:rFonts w:eastAsia="Arial" w:cs="Arial" w:ascii="Arial" w:hAnsi="Arial"/>
          <w:position w:val="0"/>
          <w:sz w:val="20"/>
          <w:sz w:val="20"/>
          <w:szCs w:val="20"/>
          <w:highlight w:val="white"/>
          <w:vertAlign w:val="baseline"/>
        </w:rPr>
        <w:t xml:space="preserve">Comprovação de possuir Patrimônio Líquido igual ou superior a </w:t>
      </w:r>
      <w:r>
        <w:rPr>
          <w:rFonts w:eastAsia="Arial" w:cs="Arial" w:ascii="Arial" w:hAnsi="Arial"/>
          <w:position w:val="0"/>
          <w:sz w:val="20"/>
          <w:sz w:val="20"/>
          <w:szCs w:val="20"/>
          <w:highlight w:val="yellow"/>
          <w:vertAlign w:val="baseline"/>
        </w:rPr>
        <w:t>R$ 000.000,00 (xxx reais),</w:t>
      </w:r>
      <w:r>
        <w:rPr>
          <w:rFonts w:eastAsia="Arial" w:cs="Arial" w:ascii="Arial" w:hAnsi="Arial"/>
          <w:position w:val="0"/>
          <w:sz w:val="20"/>
          <w:sz w:val="20"/>
          <w:szCs w:val="20"/>
          <w:highlight w:val="white"/>
          <w:vertAlign w:val="baseline"/>
        </w:rPr>
        <w:t xml:space="preserve"> mediante apresentação de Balanço Patrimonial e Demonstrações Contábeis do último exercício social – cópia extraída do Livro Diário e registrado na Junta Comercial ou publicação em Diário Oficial, ou Certidão de Cartório de Títulos ou Documentos. </w:t>
      </w:r>
      <w:r>
        <w:rPr>
          <w:rFonts w:eastAsia="Arial" w:cs="Arial" w:ascii="Arial" w:hAnsi="Arial"/>
          <w:position w:val="0"/>
          <w:sz w:val="20"/>
          <w:sz w:val="20"/>
          <w:szCs w:val="20"/>
          <w:highlight w:val="yellow"/>
          <w:vertAlign w:val="baseline"/>
        </w:rPr>
        <w:t>Uma vez que estes documentos já foram apresentados (item 1.4.2), não é necessária nova inclusão.</w:t>
      </w:r>
    </w:p>
    <w:p>
      <w:pPr>
        <w:pStyle w:val="Normal1"/>
        <w:widowControl w:val="false"/>
        <w:tabs>
          <w:tab w:val="clear" w:pos="720"/>
          <w:tab w:val="left" w:pos="567"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position w:val="0"/>
          <w:sz w:val="20"/>
          <w:sz w:val="20"/>
          <w:szCs w:val="20"/>
          <w:highlight w:val="white"/>
          <w:vertAlign w:val="baseline"/>
        </w:rPr>
        <w:t>Para as empresas cadastradas no Programa REFIS deverá ser obedecido o artigo 14 da Lei Federal n.º 9.964 de 10/04/2000.</w:t>
      </w:r>
    </w:p>
    <w:p>
      <w:pPr>
        <w:pStyle w:val="Normal1"/>
        <w:widowControl w:val="false"/>
        <w:tabs>
          <w:tab w:val="clear" w:pos="720"/>
          <w:tab w:val="left" w:pos="567"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88"/>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48</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A"/>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rPr>
            </w:r>
          </w:p>
          <w:p>
            <w:pPr>
              <w:pStyle w:val="Normal1"/>
              <w:shd w:val="clear" w:fill="FFFF00"/>
              <w:spacing w:lineRule="auto" w:line="240" w:before="0" w:after="57"/>
              <w:jc w:val="both"/>
              <w:rPr>
                <w:position w:val="0"/>
                <w:sz w:val="24"/>
                <w:sz w:val="24"/>
                <w:vertAlign w:val="baseline"/>
              </w:rPr>
            </w:pPr>
            <w:r>
              <w:rPr>
                <w:rFonts w:eastAsia="Arial" w:cs="Arial" w:ascii="Arial" w:hAnsi="Arial"/>
                <w:color w:val="000000"/>
                <w:position w:val="0"/>
                <w:sz w:val="20"/>
                <w:sz w:val="20"/>
                <w:szCs w:val="20"/>
                <w:highlight w:val="yellow"/>
                <w:vertAlign w:val="baseline"/>
              </w:rPr>
              <w:t xml:space="preserve">A Administração, considerando as peculiaridades do objeto, poderá exigir a relação dos compromissos assumidos pelos licitantes. Nesse caso, deverá </w:t>
            </w:r>
            <w:r>
              <w:rPr>
                <w:rFonts w:eastAsia="Arial" w:cs="Arial" w:ascii="Arial" w:hAnsi="Arial"/>
                <w:b/>
                <w:color w:val="000000"/>
                <w:position w:val="0"/>
                <w:sz w:val="20"/>
                <w:sz w:val="20"/>
                <w:szCs w:val="20"/>
                <w:highlight w:val="yellow"/>
                <w:vertAlign w:val="baseline"/>
              </w:rPr>
              <w:t>incluir</w:t>
            </w:r>
            <w:r>
              <w:rPr>
                <w:rFonts w:eastAsia="Arial" w:cs="Arial" w:ascii="Arial" w:hAnsi="Arial"/>
                <w:color w:val="000000"/>
                <w:position w:val="0"/>
                <w:sz w:val="20"/>
                <w:sz w:val="20"/>
                <w:szCs w:val="20"/>
                <w:highlight w:val="yellow"/>
                <w:vertAlign w:val="baseline"/>
              </w:rPr>
              <w:t xml:space="preserve"> o item a seguir:</w:t>
            </w:r>
          </w:p>
          <w:p>
            <w:pPr>
              <w:pStyle w:val="Normal1"/>
              <w:shd w:val="clear" w:fill="FFFF00"/>
              <w:spacing w:lineRule="auto" w:line="240" w:before="0" w:after="57"/>
              <w:jc w:val="both"/>
              <w:rPr>
                <w:position w:val="0"/>
                <w:sz w:val="24"/>
                <w:sz w:val="24"/>
                <w:vertAlign w:val="baseline"/>
              </w:rPr>
            </w:pPr>
            <w:r>
              <w:rPr>
                <w:position w:val="0"/>
                <w:sz w:val="24"/>
                <w:sz w:val="24"/>
                <w:vertAlign w:val="baseline"/>
              </w:rPr>
            </w:r>
          </w:p>
          <w:p>
            <w:pPr>
              <w:pStyle w:val="Normal1"/>
              <w:shd w:val="clear" w:fill="FFFF00"/>
              <w:spacing w:lineRule="auto" w:line="240" w:before="0" w:after="57"/>
              <w:jc w:val="both"/>
              <w:rPr>
                <w:position w:val="0"/>
                <w:sz w:val="24"/>
                <w:sz w:val="24"/>
                <w:vertAlign w:val="baseline"/>
              </w:rPr>
            </w:pPr>
            <w:r>
              <w:rPr>
                <w:rFonts w:eastAsia="Arial" w:cs="Arial" w:ascii="Arial" w:hAnsi="Arial"/>
                <w:b/>
                <w:color w:val="000000"/>
                <w:position w:val="0"/>
                <w:sz w:val="20"/>
                <w:sz w:val="20"/>
                <w:szCs w:val="20"/>
                <w:highlight w:val="yellow"/>
                <w:vertAlign w:val="baseline"/>
              </w:rPr>
              <w:t>1.4.5</w:t>
            </w:r>
            <w:r>
              <w:rPr>
                <w:rFonts w:eastAsia="Arial" w:cs="Arial" w:ascii="Arial" w:hAnsi="Arial"/>
                <w:color w:val="000000"/>
                <w:position w:val="0"/>
                <w:sz w:val="20"/>
                <w:sz w:val="20"/>
                <w:szCs w:val="20"/>
                <w:highlight w:val="yellow"/>
                <w:vertAlign w:val="baseline"/>
              </w:rPr>
              <w:t xml:space="preserve"> As empresas deverão apresentar a relação dos compromissos assumidos que importem diminuição da capacidade operativa ou absorção da disponibilidade financeira, calculada em função do patrimônio líquido atualizado e sua capacidade de rotação</w:t>
            </w:r>
            <w:r>
              <w:rPr>
                <w:rFonts w:eastAsia="Arial" w:cs="Arial" w:ascii="Arial" w:hAnsi="Arial"/>
                <w:i/>
                <w:color w:val="000000"/>
                <w:position w:val="0"/>
                <w:sz w:val="20"/>
                <w:sz w:val="20"/>
                <w:szCs w:val="20"/>
                <w:highlight w:val="yellow"/>
                <w:vertAlign w:val="baseline"/>
              </w:rPr>
              <w:t>.</w:t>
            </w:r>
          </w:p>
        </w:tc>
      </w:tr>
    </w:tbl>
    <w:p>
      <w:pPr>
        <w:pStyle w:val="Normal1"/>
        <w:spacing w:lineRule="auto" w:line="240" w:before="0"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89"/>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49</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t>Na contratação de serviços, para fins de qualificação econômico-financeira, deverá a Administração, de forma justificada, exigir dos licitantes, ainda, capital social mínimo ou patrimônio líquido mínimo, de forma não cumulativa. Nessas hipóteses, deverá</w:t>
            </w:r>
            <w:r>
              <w:rPr>
                <w:rFonts w:eastAsia="Arial" w:cs="Arial" w:ascii="Arial" w:hAnsi="Arial"/>
                <w:b/>
                <w:color w:val="000000"/>
                <w:position w:val="0"/>
                <w:sz w:val="20"/>
                <w:sz w:val="20"/>
                <w:szCs w:val="20"/>
                <w:highlight w:val="yellow"/>
                <w:vertAlign w:val="baseline"/>
              </w:rPr>
              <w:t xml:space="preserve"> incluir</w:t>
            </w:r>
            <w:r>
              <w:rPr>
                <w:rFonts w:eastAsia="Arial" w:cs="Arial" w:ascii="Arial" w:hAnsi="Arial"/>
                <w:color w:val="000000"/>
                <w:position w:val="0"/>
                <w:sz w:val="20"/>
                <w:sz w:val="20"/>
                <w:szCs w:val="20"/>
                <w:highlight w:val="yellow"/>
                <w:vertAlign w:val="baseline"/>
              </w:rPr>
              <w:t xml:space="preserve"> o item abaixo:</w:t>
            </w:r>
          </w:p>
          <w:p>
            <w:pPr>
              <w:pStyle w:val="Normal1"/>
              <w:shd w:val="clear" w:fill="FFFF00"/>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b/>
                <w:color w:val="000000"/>
                <w:position w:val="0"/>
                <w:sz w:val="20"/>
                <w:sz w:val="20"/>
                <w:szCs w:val="20"/>
                <w:highlight w:val="yellow"/>
                <w:vertAlign w:val="baseline"/>
              </w:rPr>
              <w:t>1.4.5.1</w:t>
            </w:r>
            <w:r>
              <w:rPr>
                <w:rFonts w:eastAsia="Arial" w:cs="Arial" w:ascii="Arial" w:hAnsi="Arial"/>
                <w:color w:val="000000"/>
                <w:position w:val="0"/>
                <w:sz w:val="20"/>
                <w:sz w:val="20"/>
                <w:szCs w:val="20"/>
                <w:highlight w:val="yellow"/>
                <w:vertAlign w:val="baseline"/>
              </w:rPr>
              <w:t xml:space="preserve"> As empresas, cadastradas ou não no Cadastro Unificado de Fornecedores do Estado do Paraná, deverão comprovar capital social ou patrimônio líquido mínimo de XX% do valor estimado da contratação ou item pertinente”.</w:t>
            </w:r>
          </w:p>
          <w:p>
            <w:pPr>
              <w:pStyle w:val="Normal1"/>
              <w:shd w:val="clear" w:fill="FFFF00"/>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57" w:after="0"/>
              <w:jc w:val="both"/>
              <w:rPr>
                <w:rFonts w:ascii="Arial" w:hAnsi="Arial" w:eastAsia="Arial" w:cs="Arial"/>
                <w:position w:val="0"/>
                <w:sz w:val="24"/>
                <w:sz w:val="24"/>
                <w:vertAlign w:val="baseline"/>
              </w:rPr>
            </w:pPr>
            <w:r>
              <w:rPr>
                <w:rFonts w:eastAsia="Arial" w:cs="Arial" w:ascii="Arial" w:hAnsi="Arial"/>
                <w:color w:val="000000"/>
                <w:position w:val="0"/>
                <w:sz w:val="20"/>
                <w:sz w:val="20"/>
                <w:szCs w:val="20"/>
                <w:highlight w:val="yellow"/>
                <w:vertAlign w:val="baseline"/>
              </w:rPr>
              <w:t>A Administração deverá juntar aos autos justificativas para o percentual fixado de capital ou de patrimônio líquido mínimo, limitado a 10% (dez por cento) do valor estimado da contratação (§ 4º do art. 69, da Lei Federal n.º 14.133/2021), assegurando-se de que não restrinja o caráter competitivo do certame.</w:t>
            </w:r>
          </w:p>
          <w:p>
            <w:pPr>
              <w:pStyle w:val="Normal1"/>
              <w:shd w:val="clear" w:fill="FFFF00"/>
              <w:spacing w:lineRule="auto" w:line="240" w:before="57" w:after="0"/>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c>
      </w:tr>
    </w:tbl>
    <w:p>
      <w:pPr>
        <w:pStyle w:val="Normal1"/>
        <w:spacing w:lineRule="auto" w:line="240" w:before="57" w:after="0"/>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pacing w:lineRule="auto" w:line="240" w:before="57" w:after="0"/>
        <w:ind w:hanging="0" w:left="-10" w:right="0"/>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1.5 </w:t>
      </w:r>
      <w:r>
        <w:rPr>
          <w:rFonts w:eastAsia="Arial" w:cs="Arial" w:ascii="Arial" w:hAnsi="Arial"/>
          <w:b/>
          <w:color w:val="000000"/>
          <w:position w:val="0"/>
          <w:sz w:val="20"/>
          <w:sz w:val="20"/>
          <w:szCs w:val="20"/>
          <w:highlight w:val="white"/>
          <w:u w:val="single"/>
          <w:vertAlign w:val="baseline"/>
        </w:rPr>
        <w:t>DOCUMENTOS DE QUALIFICAÇÃO TÉCNICA:</w:t>
      </w:r>
    </w:p>
    <w:p>
      <w:pPr>
        <w:pStyle w:val="Normal1"/>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90"/>
        <w:tblW w:w="9029" w:type="dxa"/>
        <w:jc w:val="left"/>
        <w:tblInd w:w="-55" w:type="dxa"/>
        <w:tblLayout w:type="fixed"/>
        <w:tblCellMar>
          <w:top w:w="0" w:type="dxa"/>
          <w:left w:w="108" w:type="dxa"/>
          <w:bottom w:w="0" w:type="dxa"/>
          <w:right w:w="108" w:type="dxa"/>
        </w:tblCellMar>
        <w:tblLook w:val="0000"/>
      </w:tblPr>
      <w:tblGrid>
        <w:gridCol w:w="9029"/>
      </w:tblGrid>
      <w:tr>
        <w:trPr/>
        <w:tc>
          <w:tcPr>
            <w:tcW w:w="902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50</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eastAsia="Arial" w:cs="Arial"/>
                <w:b/>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1"/>
              <w:shd w:val="clear" w:fill="FFFF00"/>
              <w:spacing w:lineRule="auto" w:line="240" w:before="57" w:after="0"/>
              <w:jc w:val="both"/>
              <w:rPr>
                <w:position w:val="0"/>
                <w:sz w:val="24"/>
                <w:sz w:val="24"/>
                <w:vertAlign w:val="baseline"/>
              </w:rPr>
            </w:pPr>
            <w:r>
              <w:rPr>
                <w:rFonts w:eastAsia="Arial" w:cs="Arial" w:ascii="Arial" w:hAnsi="Arial"/>
                <w:b/>
                <w:color w:val="000000"/>
                <w:position w:val="0"/>
                <w:sz w:val="20"/>
                <w:sz w:val="20"/>
                <w:szCs w:val="20"/>
                <w:highlight w:val="yellow"/>
                <w:vertAlign w:val="baseline"/>
              </w:rPr>
              <w:t>OBS:</w:t>
            </w:r>
            <w:r>
              <w:rPr>
                <w:rFonts w:eastAsia="Arial" w:cs="Arial" w:ascii="Arial" w:hAnsi="Arial"/>
                <w:color w:val="000000"/>
                <w:position w:val="0"/>
                <w:sz w:val="20"/>
                <w:sz w:val="20"/>
                <w:szCs w:val="20"/>
                <w:highlight w:val="yellow"/>
                <w:vertAlign w:val="baseline"/>
              </w:rPr>
              <w:t xml:space="preserve"> Para fins de qualificação técnica, a Administração deverá ficar restrita ao que estabelece o art. 67 da Lei Federal n.º 14.133/2021.</w:t>
            </w:r>
          </w:p>
        </w:tc>
      </w:tr>
    </w:tbl>
    <w:p>
      <w:pPr>
        <w:pStyle w:val="Normal1"/>
        <w:widowControl w:val="false"/>
        <w:tabs>
          <w:tab w:val="clear" w:pos="720"/>
          <w:tab w:val="left" w:pos="420" w:leader="none"/>
        </w:tabs>
        <w:spacing w:lineRule="auto" w:line="240" w:before="57" w:after="0"/>
        <w:ind w:hanging="0" w:left="-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0"/>
          <w:numId w:val="0"/>
        </w:numPr>
        <w:tabs>
          <w:tab w:val="clear" w:pos="720"/>
          <w:tab w:val="left" w:pos="420" w:leader="none"/>
        </w:tabs>
        <w:spacing w:lineRule="auto" w:line="240" w:before="57" w:after="0"/>
        <w:ind w:hanging="0" w:left="-6" w:right="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1.5.1 COMPROVAÇÃO DE QUALIFICAÇÃO TÉCNICA</w:t>
      </w:r>
    </w:p>
    <w:p>
      <w:pPr>
        <w:pStyle w:val="Normal1"/>
        <w:widowControl w:val="false"/>
        <w:tabs>
          <w:tab w:val="clear" w:pos="720"/>
          <w:tab w:val="left" w:pos="420" w:leader="none"/>
        </w:tabs>
        <w:spacing w:lineRule="auto" w:line="240" w:before="57" w:after="0"/>
        <w:ind w:hanging="0" w:left="-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852" w:leader="none"/>
        </w:tabs>
        <w:spacing w:lineRule="auto" w:line="240" w:before="57" w:after="0"/>
        <w:ind w:hanging="0" w:left="42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Para a comprovação de Qualificação Técnica o licitante arrematante deverá entregar:</w:t>
      </w:r>
    </w:p>
    <w:p>
      <w:pPr>
        <w:pStyle w:val="Normal1"/>
        <w:widowControl w:val="false"/>
        <w:tabs>
          <w:tab w:val="clear" w:pos="720"/>
          <w:tab w:val="left" w:pos="852" w:leader="none"/>
        </w:tabs>
        <w:spacing w:lineRule="auto" w:line="240" w:before="57" w:after="0"/>
        <w:ind w:hanging="0" w:left="42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630" w:leader="none"/>
        </w:tabs>
        <w:spacing w:lineRule="auto" w:line="240" w:before="57" w:after="0"/>
        <w:ind w:hanging="0" w:left="63" w:right="0"/>
        <w:jc w:val="both"/>
        <w:rPr>
          <w:rFonts w:ascii="Arial" w:hAnsi="Arial" w:eastAsia="Arial" w:cs="Arial"/>
          <w:position w:val="0"/>
          <w:sz w:val="20"/>
          <w:sz w:val="20"/>
          <w:szCs w:val="20"/>
          <w:shd w:fill="81D41A" w:val="clear"/>
          <w:vertAlign w:val="baseline"/>
        </w:rPr>
      </w:pPr>
      <w:r>
        <w:rPr>
          <w:rFonts w:eastAsia="Arial" w:cs="Arial" w:ascii="Arial" w:hAnsi="Arial"/>
          <w:b/>
          <w:position w:val="0"/>
          <w:sz w:val="20"/>
          <w:sz w:val="20"/>
          <w:szCs w:val="20"/>
          <w:highlight w:val="white"/>
          <w:vertAlign w:val="baseline"/>
        </w:rPr>
        <w:t>1.5.1.1 CAPACIDADE TÉCNICA OPERACIONAL</w:t>
      </w:r>
    </w:p>
    <w:p>
      <w:pPr>
        <w:pStyle w:val="Normal1"/>
        <w:widowControl w:val="false"/>
        <w:shd w:val="clear" w:fill="FFFFFF"/>
        <w:tabs>
          <w:tab w:val="clear" w:pos="720"/>
          <w:tab w:val="left" w:pos="1134" w:leader="none"/>
        </w:tabs>
        <w:spacing w:lineRule="auto" w:line="240" w:before="57" w:after="0"/>
        <w:ind w:hanging="0" w:left="397"/>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1"/>
        <w:widowControl w:val="false"/>
        <w:shd w:val="clear" w:fill="FFFFFF"/>
        <w:tabs>
          <w:tab w:val="clear" w:pos="720"/>
          <w:tab w:val="left" w:pos="1134" w:leader="none"/>
        </w:tabs>
        <w:spacing w:lineRule="auto" w:line="240" w:before="57" w:after="0"/>
        <w:ind w:hanging="0" w:left="397"/>
        <w:jc w:val="both"/>
        <w:rPr/>
      </w:pPr>
      <w:r>
        <w:rPr>
          <w:rFonts w:eastAsia="Arial" w:cs="Arial" w:ascii="Arial" w:hAnsi="Arial"/>
          <w:sz w:val="20"/>
          <w:szCs w:val="20"/>
          <w:highlight w:val="white"/>
        </w:rPr>
        <w:t xml:space="preserve"> </w:t>
      </w:r>
      <w:r>
        <w:rPr>
          <w:rFonts w:eastAsia="Arial" w:cs="Arial" w:ascii="Arial" w:hAnsi="Arial"/>
          <w:sz w:val="20"/>
          <w:szCs w:val="20"/>
          <w:highlight w:val="white"/>
        </w:rPr>
        <w:t>A documentação relativa à Capacidade Técnica Operacional consistirá em:</w:t>
      </w:r>
    </w:p>
    <w:p>
      <w:pPr>
        <w:pStyle w:val="Normal1"/>
        <w:widowControl w:val="false"/>
        <w:numPr>
          <w:ilvl w:val="0"/>
          <w:numId w:val="1"/>
        </w:numPr>
        <w:shd w:val="clear" w:fill="FFFFFF"/>
        <w:tabs>
          <w:tab w:val="clear" w:pos="720"/>
          <w:tab w:val="left" w:pos="1248" w:leader="none"/>
        </w:tabs>
        <w:spacing w:lineRule="auto" w:line="240" w:before="57" w:after="0"/>
        <w:ind w:hanging="0" w:left="397"/>
        <w:jc w:val="both"/>
        <w:rPr>
          <w:rFonts w:ascii="Arial" w:hAnsi="Arial" w:eastAsia="Arial" w:cs="Arial"/>
          <w:sz w:val="20"/>
          <w:szCs w:val="20"/>
          <w:highlight w:val="white"/>
        </w:rPr>
      </w:pPr>
      <w:r>
        <w:rPr>
          <w:rFonts w:eastAsia="Arial" w:cs="Arial" w:ascii="Arial" w:hAnsi="Arial"/>
          <w:sz w:val="20"/>
          <w:szCs w:val="20"/>
          <w:highlight w:val="white"/>
        </w:rPr>
        <w:t>Certidão de Registro de Pessoa Jurídica com a regularidade do licitante junto ao Conselho Regional de Engenharia e Agronomia – CREA e/ou Conselho de Arquitetura e Urbanismo – CAU, dentro de seu prazo de validade e com jurisdição na sua sede.</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highlight w:val="white"/>
        </w:rPr>
      </w:pPr>
      <w:r>
        <w:rPr>
          <w:rFonts w:eastAsia="Arial" w:cs="Arial" w:ascii="Arial" w:hAnsi="Arial"/>
          <w:sz w:val="20"/>
          <w:szCs w:val="20"/>
          <w:highlight w:val="white"/>
        </w:rPr>
        <w:t>a.1) Em se tratando de empresa de engenharia não registrada no CREA do Estado do Paraná, deverá apresentar o registro do CREA do Estado de origem, ficando a licitante vencedora obrigada a apresentar o visto do CREA do Paraná antes da assinatura do contrato.</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shd w:fill="81D41A" w:val="clear"/>
        </w:rPr>
      </w:pPr>
      <w:r>
        <w:rPr>
          <w:rFonts w:eastAsia="Arial" w:cs="Arial" w:ascii="Arial" w:hAnsi="Arial"/>
          <w:color w:val="FF0000"/>
          <w:sz w:val="20"/>
          <w:szCs w:val="20"/>
          <w:shd w:fill="auto" w:val="clear"/>
        </w:rPr>
        <w:t>b) 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 e/ou pelo conselho profissional competente, quando for o caso.</w:t>
      </w:r>
      <w:r>
        <w:rPr>
          <w:rFonts w:eastAsia="Arial" w:cs="Arial" w:ascii="Arial" w:hAnsi="Arial"/>
          <w:sz w:val="20"/>
          <w:szCs w:val="20"/>
          <w:shd w:fill="81D41A" w:val="clear"/>
        </w:rPr>
        <w:br/>
      </w:r>
    </w:p>
    <w:tbl>
      <w:tblPr>
        <w:tblStyle w:val="Table91"/>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0"/>
              <w:jc w:val="both"/>
              <w:rPr>
                <w:rFonts w:ascii="Arial" w:hAnsi="Arial" w:eastAsia="Arial" w:cs="Arial"/>
                <w:b/>
                <w:color w:val="FF0000"/>
                <w:sz w:val="20"/>
                <w:szCs w:val="20"/>
              </w:rPr>
            </w:pPr>
            <w:r>
              <w:rPr>
                <w:rFonts w:eastAsia="Arial" w:cs="Arial" w:ascii="Arial" w:hAnsi="Arial"/>
                <w:b/>
                <w:color w:val="FF0000"/>
                <w:sz w:val="20"/>
                <w:szCs w:val="20"/>
              </w:rPr>
              <w:t xml:space="preserve">Nota explicativa </w:t>
            </w:r>
            <w:r>
              <w:rPr>
                <w:rFonts w:eastAsia="Arial" w:cs="Arial" w:ascii="Arial" w:hAnsi="Arial"/>
                <w:b/>
                <w:color w:val="FF0000"/>
                <w:sz w:val="20"/>
                <w:szCs w:val="20"/>
              </w:rPr>
              <w:fldChar w:fldCharType="begin"/>
            </w:r>
            <w:r>
              <w:rPr>
                <w:sz w:val="20"/>
                <w:b/>
                <w:szCs w:val="20"/>
                <w:rFonts w:eastAsia="Arial" w:cs="Arial" w:ascii="Arial" w:hAnsi="Arial"/>
                <w:color w:val="FF0000"/>
              </w:rPr>
              <w:instrText xml:space="preserve"> SEQ Desenho \* ARABIC </w:instrText>
            </w:r>
            <w:r>
              <w:rPr>
                <w:sz w:val="20"/>
                <w:b/>
                <w:szCs w:val="20"/>
                <w:rFonts w:eastAsia="Arial" w:cs="Arial" w:ascii="Arial" w:hAnsi="Arial"/>
                <w:color w:val="FF0000"/>
              </w:rPr>
              <w:fldChar w:fldCharType="separate"/>
            </w:r>
            <w:r>
              <w:rPr>
                <w:sz w:val="20"/>
                <w:b/>
                <w:szCs w:val="20"/>
                <w:rFonts w:eastAsia="Arial" w:cs="Arial" w:ascii="Arial" w:hAnsi="Arial"/>
                <w:color w:val="FF0000"/>
              </w:rPr>
              <w:t>51</w:t>
            </w:r>
            <w:r>
              <w:rPr>
                <w:sz w:val="20"/>
                <w:b/>
                <w:szCs w:val="20"/>
                <w:rFonts w:eastAsia="Arial" w:cs="Arial" w:ascii="Arial" w:hAnsi="Arial"/>
                <w:color w:val="FF0000"/>
              </w:rPr>
              <w:fldChar w:fldCharType="end"/>
            </w:r>
            <w:r>
              <w:rPr>
                <w:rFonts w:eastAsia="Arial" w:cs="Arial" w:ascii="Arial" w:hAnsi="Arial"/>
                <w:b/>
                <w:color w:val="FF0000"/>
                <w:sz w:val="20"/>
                <w:szCs w:val="20"/>
              </w:rPr>
              <w:t>:</w:t>
            </w:r>
          </w:p>
          <w:p>
            <w:pPr>
              <w:pStyle w:val="Normal1"/>
              <w:shd w:val="clear" w:fill="FFFF00"/>
              <w:spacing w:lineRule="auto" w:line="240" w:before="57" w:after="0"/>
              <w:jc w:val="both"/>
              <w:rPr>
                <w:rFonts w:ascii="Arial" w:hAnsi="Arial" w:eastAsia="Arial" w:cs="Arial"/>
                <w:sz w:val="20"/>
                <w:szCs w:val="20"/>
                <w:highlight w:val="yellow"/>
              </w:rPr>
            </w:pPr>
            <w:r>
              <w:rPr>
                <w:rFonts w:eastAsia="Arial" w:cs="Arial" w:ascii="Arial" w:hAnsi="Arial"/>
                <w:b/>
                <w:color w:val="00000A"/>
                <w:sz w:val="20"/>
                <w:szCs w:val="20"/>
              </w:rPr>
              <w:t>(</w:t>
            </w:r>
            <w:r>
              <w:rPr>
                <w:rFonts w:eastAsia="Arial" w:cs="Arial" w:ascii="Arial" w:hAnsi="Arial"/>
                <w:b/>
                <w:sz w:val="20"/>
                <w:szCs w:val="20"/>
                <w:highlight w:val="yellow"/>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sz w:val="20"/>
                <w:szCs w:val="20"/>
                <w:shd w:fill="auto" w:val="clear"/>
              </w:rPr>
            </w:pPr>
            <w:r>
              <w:rPr>
                <w:rFonts w:eastAsia="Arial" w:cs="Arial" w:ascii="Arial" w:hAnsi="Arial"/>
                <w:sz w:val="20"/>
                <w:szCs w:val="20"/>
                <w:shd w:fill="auto" w:val="clear"/>
              </w:rPr>
              <w:t>A exigência de documentos que comprovem a capacidade operacional deve ser criteriosamente estudada em cada caso concreto, considerando as peculiaridades da obra ou serviço a ser contratado. Quando a Certidão de Acervo Operacional (CAO) não for suficiente para demonstrar a boa execução do objeto, é possível complementá-la com atestados emitidos por pessoas jurídicas de direito público, que trazem maior segurança, por refletirem experiências em contextos sob fiscalização rigorosa.</w:t>
            </w:r>
          </w:p>
          <w:p>
            <w:pPr>
              <w:pStyle w:val="Normal1"/>
              <w:shd w:val="clear" w:fill="FFFF00"/>
              <w:spacing w:lineRule="auto" w:line="240" w:before="57" w:after="0"/>
              <w:jc w:val="both"/>
              <w:rPr>
                <w:sz w:val="20"/>
                <w:szCs w:val="20"/>
              </w:rPr>
            </w:pPr>
            <w:r>
              <w:rPr>
                <w:rFonts w:eastAsia="Arial" w:cs="Arial" w:ascii="Arial" w:hAnsi="Arial"/>
                <w:sz w:val="20"/>
                <w:szCs w:val="20"/>
                <w:shd w:fill="auto" w:val="clear"/>
              </w:rPr>
              <w:t>Alternativamente, a CAO pode ser substituída por outros documentos, como a apresentação de atestados emitidos por pessoa jurídica de direito público ou privado em conjunto com as Certidões de Acervo Técnico (CAT) e as Anotações de Responsabilidade Técnica (ART) correspondentes, possibilitando o cruzamento de dados técnicos, para uma análise mais confiável.</w:t>
            </w:r>
          </w:p>
          <w:p>
            <w:pPr>
              <w:pStyle w:val="Normal1"/>
              <w:shd w:val="clear" w:fill="FFFF00"/>
              <w:spacing w:lineRule="auto" w:line="240" w:before="57" w:after="0"/>
              <w:jc w:val="both"/>
              <w:rPr>
                <w:sz w:val="20"/>
                <w:szCs w:val="20"/>
              </w:rPr>
            </w:pPr>
            <w:r>
              <w:rPr>
                <w:rFonts w:eastAsia="Arial" w:cs="Arial" w:ascii="Arial" w:hAnsi="Arial"/>
                <w:sz w:val="20"/>
                <w:szCs w:val="20"/>
                <w:shd w:fill="auto" w:val="clear"/>
              </w:rPr>
              <w:t>Dessa forma, poderá ser exigida, por exemplo, a apresentação de atestados emitidos por pessoa jurídica de direito público ou privado, acompanhado da CAO, ou, na ausência desta, de CAT e/ou ART.</w:t>
            </w:r>
          </w:p>
        </w:tc>
      </w:tr>
    </w:tbl>
    <w:p>
      <w:pPr>
        <w:pStyle w:val="Normal1"/>
        <w:widowControl w:val="false"/>
        <w:shd w:val="clear" w:fill="FFFFFF"/>
        <w:tabs>
          <w:tab w:val="clear" w:pos="720"/>
          <w:tab w:val="left" w:pos="1248" w:leader="none"/>
        </w:tabs>
        <w:spacing w:lineRule="auto" w:line="240" w:before="57" w:after="0"/>
        <w:ind w:hanging="0" w:left="397"/>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1"/>
        <w:widowControl w:val="false"/>
        <w:shd w:val="clear" w:fill="FFFFFF"/>
        <w:tabs>
          <w:tab w:val="clear" w:pos="720"/>
          <w:tab w:val="left" w:pos="1248" w:leader="none"/>
        </w:tabs>
        <w:spacing w:lineRule="auto" w:line="240" w:before="57" w:after="0"/>
        <w:ind w:hanging="0" w:left="397"/>
        <w:jc w:val="both"/>
        <w:rPr>
          <w:rFonts w:ascii="Calibri" w:hAnsi="Calibri" w:eastAsia="Calibri" w:cs="Calibri"/>
          <w:sz w:val="22"/>
          <w:szCs w:val="22"/>
        </w:rPr>
      </w:pPr>
      <w:r>
        <w:rPr>
          <w:rFonts w:eastAsia="Calibri" w:cs="Calibri" w:ascii="Calibri" w:hAnsi="Calibri"/>
          <w:sz w:val="22"/>
          <w:szCs w:val="22"/>
        </w:rPr>
      </w:r>
    </w:p>
    <w:tbl>
      <w:tblPr>
        <w:tblStyle w:val="Table92"/>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0"/>
              <w:jc w:val="both"/>
              <w:rPr>
                <w:rFonts w:ascii="Arial" w:hAnsi="Arial" w:eastAsia="Arial" w:cs="Arial"/>
                <w:b/>
                <w:color w:val="FF0000"/>
                <w:sz w:val="20"/>
                <w:szCs w:val="20"/>
              </w:rPr>
            </w:pPr>
            <w:sdt>
              <w:sdtPr>
                <w:tag w:val="goog_rdk_35"/>
                <w:lock w:val="contentLocked"/>
                <w:text/>
              </w:sdtPr>
              <w:sdtContent>
                <w:r>
                  <w:rPr>
                    <w:rFonts w:eastAsia="Arial" w:cs="Arial" w:ascii="Arial" w:hAnsi="Arial"/>
                    <w:b/>
                    <w:color w:val="FF0000"/>
                    <w:sz w:val="20"/>
                    <w:szCs w:val="20"/>
                  </w:rPr>
                </w:r>
                <w:r>
                  <w:rPr>
                    <w:rFonts w:eastAsia="Arial" w:cs="Arial" w:ascii="Arial" w:hAnsi="Arial"/>
                    <w:b/>
                    <w:color w:val="FF0000"/>
                    <w:sz w:val="20"/>
                    <w:szCs w:val="20"/>
                  </w:rPr>
                  <w:t xml:space="preserve">Nota explicativa </w:t>
                </w:r>
                <w:r>
                  <w:rPr>
                    <w:rFonts w:eastAsia="Arial" w:cs="Arial" w:ascii="Arial" w:hAnsi="Arial"/>
                    <w:b/>
                    <w:color w:val="FF0000"/>
                    <w:sz w:val="20"/>
                    <w:szCs w:val="20"/>
                  </w:rPr>
                  <w:fldChar w:fldCharType="begin"/>
                </w:r>
                <w:r>
                  <w:rPr>
                    <w:sz w:val="20"/>
                    <w:b/>
                    <w:szCs w:val="20"/>
                    <w:rFonts w:eastAsia="Arial" w:cs="Arial" w:ascii="Arial" w:hAnsi="Arial"/>
                    <w:color w:val="FF0000"/>
                  </w:rPr>
                  <w:instrText xml:space="preserve"> SEQ Desenho \* ARABIC </w:instrText>
                </w:r>
                <w:r>
                  <w:rPr>
                    <w:sz w:val="20"/>
                    <w:b/>
                    <w:szCs w:val="20"/>
                    <w:rFonts w:eastAsia="Arial" w:cs="Arial" w:ascii="Arial" w:hAnsi="Arial"/>
                    <w:color w:val="FF0000"/>
                  </w:rPr>
                  <w:fldChar w:fldCharType="separate"/>
                </w:r>
                <w:r>
                  <w:rPr>
                    <w:sz w:val="20"/>
                    <w:b/>
                    <w:szCs w:val="20"/>
                    <w:rFonts w:eastAsia="Arial" w:cs="Arial" w:ascii="Arial" w:hAnsi="Arial"/>
                    <w:color w:val="FF0000"/>
                  </w:rPr>
                  <w:t>52</w:t>
                </w:r>
                <w:r>
                  <w:rPr>
                    <w:sz w:val="20"/>
                    <w:b/>
                    <w:szCs w:val="20"/>
                    <w:rFonts w:eastAsia="Arial" w:cs="Arial" w:ascii="Arial" w:hAnsi="Arial"/>
                    <w:color w:val="FF0000"/>
                  </w:rPr>
                  <w:fldChar w:fldCharType="end"/>
                </w:r>
                <w:r>
                  <w:rPr>
                    <w:rFonts w:eastAsia="Arial" w:cs="Arial" w:ascii="Arial" w:hAnsi="Arial"/>
                    <w:b/>
                    <w:color w:val="FF0000"/>
                    <w:sz w:val="20"/>
                    <w:szCs w:val="20"/>
                  </w:rPr>
                  <w:t>:</w:t>
                </w:r>
              </w:sdtContent>
            </w:sdt>
          </w:p>
          <w:p>
            <w:pPr>
              <w:pStyle w:val="Normal1"/>
              <w:shd w:val="clear" w:fill="FFFF00"/>
              <w:spacing w:lineRule="auto" w:line="240" w:before="57" w:after="0"/>
              <w:jc w:val="both"/>
              <w:rPr>
                <w:rFonts w:ascii="Arial" w:hAnsi="Arial" w:eastAsia="Arial" w:cs="Arial"/>
                <w:sz w:val="20"/>
                <w:szCs w:val="20"/>
                <w:highlight w:val="yellow"/>
              </w:rPr>
            </w:pPr>
            <w:r>
              <w:rPr>
                <w:rFonts w:eastAsia="Arial" w:cs="Arial" w:ascii="Arial" w:hAnsi="Arial"/>
                <w:b/>
                <w:sz w:val="20"/>
                <w:szCs w:val="20"/>
              </w:rPr>
              <w:t>(</w:t>
            </w:r>
            <w:r>
              <w:rPr>
                <w:rFonts w:eastAsia="Arial" w:cs="Arial" w:ascii="Arial" w:hAnsi="Arial"/>
                <w:b/>
                <w:sz w:val="20"/>
                <w:szCs w:val="20"/>
                <w:highlight w:val="yellow"/>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eastAsia="Arial" w:cs="Arial"/>
                <w:b/>
                <w:sz w:val="20"/>
                <w:szCs w:val="20"/>
                <w:highlight w:val="yellow"/>
              </w:rPr>
            </w:pPr>
            <w:r>
              <w:rPr>
                <w:rFonts w:eastAsia="Arial" w:cs="Arial" w:ascii="Arial" w:hAnsi="Arial"/>
                <w:sz w:val="20"/>
                <w:szCs w:val="20"/>
                <w:highlight w:val="yellow"/>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1"/>
              <w:shd w:val="clear" w:fill="FFFF00"/>
              <w:spacing w:lineRule="auto" w:line="240" w:before="57" w:after="0"/>
              <w:jc w:val="both"/>
              <w:rPr>
                <w:rFonts w:ascii="Calibri" w:hAnsi="Calibri" w:eastAsia="Calibri" w:cs="Calibri"/>
                <w:sz w:val="22"/>
                <w:szCs w:val="22"/>
              </w:rPr>
            </w:pPr>
            <w:r>
              <w:rPr>
                <w:rFonts w:eastAsia="Arial" w:cs="Arial" w:ascii="Arial" w:hAnsi="Arial"/>
                <w:b/>
                <w:sz w:val="20"/>
                <w:szCs w:val="20"/>
                <w:highlight w:val="yellow"/>
              </w:rPr>
              <w:t>OBS:</w:t>
            </w:r>
            <w:r>
              <w:rPr>
                <w:rFonts w:eastAsia="Arial" w:cs="Arial" w:ascii="Arial" w:hAnsi="Arial"/>
                <w:sz w:val="20"/>
                <w:szCs w:val="20"/>
                <w:highlight w:val="yellow"/>
              </w:rPr>
              <w:t xml:space="preserve"> Para fins de qualificação técnica, a Administração deverá ficar restrita ao que estabelece o art. 67 da Lei Federal n.º 14.133/2021.</w:t>
            </w:r>
          </w:p>
        </w:tc>
      </w:tr>
    </w:tbl>
    <w:p>
      <w:pPr>
        <w:pStyle w:val="Normal1"/>
        <w:widowControl w:val="false"/>
        <w:shd w:val="clear" w:fill="FFFFFF"/>
        <w:tabs>
          <w:tab w:val="clear" w:pos="720"/>
          <w:tab w:val="left" w:pos="1390" w:leader="none"/>
        </w:tabs>
        <w:spacing w:lineRule="auto" w:line="240" w:before="57" w:after="0"/>
        <w:ind w:hanging="0" w:left="0"/>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highlight w:val="white"/>
        </w:rPr>
      </w:pPr>
      <w:r>
        <w:rPr>
          <w:rFonts w:eastAsia="Arial" w:cs="Arial" w:ascii="Arial" w:hAnsi="Arial"/>
          <w:sz w:val="20"/>
          <w:szCs w:val="20"/>
          <w:highlight w:val="white"/>
        </w:rPr>
        <w:t>c) Declaração formal assinada pelo responsável técnico do licitante acerca do conhecimento pleno das condições e peculiaridades da contratação, conforme Anexo VII.</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b/>
          <w:sz w:val="20"/>
          <w:szCs w:val="20"/>
          <w:highlight w:val="white"/>
          <w:u w:val="single"/>
        </w:rPr>
      </w:pPr>
      <w:r>
        <w:rPr>
          <w:rFonts w:eastAsia="Arial" w:cs="Arial" w:ascii="Arial" w:hAnsi="Arial"/>
          <w:sz w:val="20"/>
          <w:szCs w:val="20"/>
          <w:highlight w:val="white"/>
        </w:rPr>
        <w:t xml:space="preserve">c.1) </w:t>
      </w:r>
      <w:r>
        <w:rPr>
          <w:rFonts w:eastAsia="Arial" w:cs="Arial" w:ascii="Arial" w:hAnsi="Arial"/>
          <w:b/>
          <w:sz w:val="20"/>
          <w:szCs w:val="20"/>
          <w:highlight w:val="white"/>
          <w:u w:val="single"/>
        </w:rPr>
        <w:t>A Declaração é um documento indispensável a ser entregue, sendo que a sua ausência inabilitará o Licitante.</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highlight w:val="white"/>
        </w:rPr>
      </w:pPr>
      <w:r>
        <w:rPr>
          <w:rFonts w:eastAsia="Arial" w:cs="Arial" w:ascii="Arial" w:hAnsi="Arial"/>
          <w:sz w:val="20"/>
          <w:szCs w:val="20"/>
          <w:highlight w:val="white"/>
        </w:rPr>
        <w:t>d) A vistoria técnica terá por finalidade:</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highlight w:val="white"/>
        </w:rPr>
      </w:pPr>
      <w:r>
        <w:rPr>
          <w:rFonts w:eastAsia="Arial" w:cs="Arial" w:ascii="Arial" w:hAnsi="Arial"/>
          <w:sz w:val="20"/>
          <w:szCs w:val="20"/>
          <w:highlight w:val="white"/>
        </w:rPr>
        <w:t>d.1) Conhecimento das condições locais onde será prestado o serviço, para efetuar as medições e conferências que se fizerem necessárias para a correta elaboração de sua proposta, bem como para solicitação de outros esclarecimentos que julgarem necessários.</w:t>
      </w:r>
    </w:p>
    <w:p>
      <w:pPr>
        <w:pStyle w:val="Normal1"/>
        <w:widowControl w:val="false"/>
        <w:shd w:val="clear" w:fill="FFFFFF"/>
        <w:tabs>
          <w:tab w:val="clear" w:pos="720"/>
          <w:tab w:val="left" w:pos="1248" w:leader="none"/>
        </w:tabs>
        <w:spacing w:lineRule="auto" w:line="240" w:before="57" w:after="0"/>
        <w:ind w:hanging="0" w:left="360"/>
        <w:jc w:val="both"/>
        <w:rPr>
          <w:rFonts w:ascii="Arial" w:hAnsi="Arial" w:eastAsia="Arial" w:cs="Arial"/>
          <w:sz w:val="20"/>
          <w:szCs w:val="20"/>
          <w:highlight w:val="white"/>
        </w:rPr>
      </w:pPr>
      <w:r>
        <w:rPr>
          <w:rFonts w:eastAsia="Arial" w:cs="Arial" w:ascii="Arial" w:hAnsi="Arial"/>
          <w:sz w:val="20"/>
          <w:szCs w:val="20"/>
          <w:highlight w:val="white"/>
        </w:rPr>
        <w:t>d.2) Alegações posteriores relacionadas com o desconhecimento das condições locais pertinentes à execução do objeto não serão argumentos válidos para reclamações futuras, nem desobrigam a execução do serviço. Todas as ocorrências pertinentes ao escopo dos serviços, a partir da assinatura do contrato, serão de responsabilidade do contratado.</w:t>
      </w:r>
    </w:p>
    <w:p>
      <w:pPr>
        <w:pStyle w:val="Normal1"/>
        <w:widowControl w:val="false"/>
        <w:tabs>
          <w:tab w:val="clear" w:pos="720"/>
          <w:tab w:val="left" w:pos="1085"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tabs>
          <w:tab w:val="clear" w:pos="720"/>
          <w:tab w:val="left" w:pos="630" w:leader="none"/>
        </w:tabs>
        <w:spacing w:lineRule="auto" w:line="240" w:before="57" w:after="0"/>
        <w:ind w:hanging="0" w:left="63" w:right="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highlight w:val="white"/>
          <w:vertAlign w:val="baseline"/>
        </w:rPr>
        <w:t>1.5.1.2 CAPACIDADE TÉCNICA PROFISSIONAL</w:t>
      </w:r>
    </w:p>
    <w:p>
      <w:pPr>
        <w:pStyle w:val="Normal1"/>
        <w:widowControl w:val="false"/>
        <w:tabs>
          <w:tab w:val="clear" w:pos="720"/>
          <w:tab w:val="left" w:pos="1134" w:leader="none"/>
        </w:tabs>
        <w:spacing w:lineRule="auto" w:line="240" w:before="57" w:after="0"/>
        <w:ind w:hanging="0"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 documentação relativa à Capacidade Técnica Profissional consistirá em:</w:t>
      </w:r>
    </w:p>
    <w:p>
      <w:pPr>
        <w:pStyle w:val="Normal1"/>
        <w:widowControl w:val="false"/>
        <w:numPr>
          <w:ilvl w:val="0"/>
          <w:numId w:val="4"/>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 declaração de Responsabilidade Técnica, conform</w:t>
      </w:r>
      <w:r>
        <w:rPr>
          <w:rFonts w:eastAsia="Arial" w:cs="Arial" w:ascii="Arial" w:hAnsi="Arial"/>
          <w:position w:val="0"/>
          <w:sz w:val="20"/>
          <w:sz w:val="20"/>
          <w:szCs w:val="20"/>
          <w:vertAlign w:val="baseline"/>
        </w:rPr>
        <w:t>e Anexo V.</w:t>
      </w:r>
    </w:p>
    <w:p>
      <w:pPr>
        <w:pStyle w:val="Normal1"/>
        <w:widowControl w:val="false"/>
        <w:numPr>
          <w:ilvl w:val="0"/>
          <w:numId w:val="4"/>
        </w:numPr>
        <w:tabs>
          <w:tab w:val="clear" w:pos="720"/>
          <w:tab w:val="left" w:pos="1248" w:leader="none"/>
        </w:tabs>
        <w:spacing w:lineRule="auto" w:line="240" w:before="57" w:after="0"/>
        <w:ind w:hanging="0" w:left="397" w:right="0"/>
        <w:jc w:val="both"/>
        <w:rPr>
          <w:rFonts w:ascii="Arial" w:hAnsi="Arial" w:eastAsia="Arial" w:cs="Arial"/>
          <w:b/>
          <w:position w:val="0"/>
          <w:sz w:val="20"/>
          <w:sz w:val="20"/>
          <w:szCs w:val="20"/>
          <w:highlight w:val="white"/>
          <w:vertAlign w:val="baseline"/>
        </w:rPr>
      </w:pPr>
      <w:r>
        <w:rPr>
          <w:rFonts w:eastAsia="Arial" w:cs="Arial" w:ascii="Arial" w:hAnsi="Arial"/>
          <w:position w:val="0"/>
          <w:sz w:val="20"/>
          <w:sz w:val="20"/>
          <w:szCs w:val="20"/>
          <w:highlight w:val="white"/>
          <w:vertAlign w:val="baseline"/>
        </w:rPr>
        <w:t>A comprovação do(s) profissional(is) de nível superior, ou outro devidamente reconhecido pela entidade competente, detentor(es) do(s) Acervo(s) de Responsabilidade Técnica pela execução dos serviços constantes</w:t>
      </w:r>
      <w:r>
        <w:rPr>
          <w:rFonts w:eastAsia="Arial" w:cs="Arial" w:ascii="Arial" w:hAnsi="Arial"/>
          <w:position w:val="0"/>
          <w:sz w:val="20"/>
          <w:sz w:val="20"/>
          <w:szCs w:val="20"/>
          <w:vertAlign w:val="baseline"/>
        </w:rPr>
        <w:t xml:space="preserve"> na al</w:t>
      </w:r>
      <w:r>
        <w:rPr>
          <w:rFonts w:eastAsia="Arial" w:cs="Arial" w:ascii="Arial" w:hAnsi="Arial"/>
          <w:position w:val="0"/>
          <w:sz w:val="20"/>
          <w:sz w:val="20"/>
          <w:szCs w:val="20"/>
          <w:highlight w:val="white"/>
          <w:vertAlign w:val="baseline"/>
        </w:rPr>
        <w:t>ínea “b” d</w:t>
      </w:r>
      <w:r>
        <w:rPr>
          <w:rFonts w:eastAsia="Arial" w:cs="Arial" w:ascii="Arial" w:hAnsi="Arial"/>
          <w:position w:val="0"/>
          <w:sz w:val="20"/>
          <w:sz w:val="20"/>
          <w:szCs w:val="20"/>
          <w:vertAlign w:val="baseline"/>
        </w:rPr>
        <w:t>o item 1.5.1.1,</w:t>
      </w:r>
      <w:r>
        <w:rPr>
          <w:rFonts w:eastAsia="Arial" w:cs="Arial" w:ascii="Arial" w:hAnsi="Arial"/>
          <w:position w:val="0"/>
          <w:sz w:val="20"/>
          <w:sz w:val="20"/>
          <w:szCs w:val="20"/>
          <w:highlight w:val="white"/>
          <w:vertAlign w:val="baseline"/>
        </w:rPr>
        <w:t xml:space="preserve"> com a comprovação de pertencer ao quadro permanente do licitante, conforme abaixo:</w:t>
      </w:r>
    </w:p>
    <w:p>
      <w:pPr>
        <w:pStyle w:val="Normal1"/>
        <w:widowControl w:val="false"/>
        <w:numPr>
          <w:ilvl w:val="1"/>
          <w:numId w:val="2"/>
        </w:numPr>
        <w:tabs>
          <w:tab w:val="clear" w:pos="720"/>
          <w:tab w:val="left" w:pos="1390" w:leader="none"/>
        </w:tabs>
        <w:spacing w:lineRule="auto" w:line="240" w:before="57" w:after="0"/>
        <w:ind w:hanging="0" w:left="397"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highlight w:val="white"/>
          <w:vertAlign w:val="baseline"/>
        </w:rPr>
        <w:t>Profissional Engenheiro Civil ou Arquiteto e Urbanista detentor do Acervo de Responsabilidade Técnica pela execução dos serviços constantes na alíne</w:t>
      </w:r>
      <w:r>
        <w:rPr>
          <w:rFonts w:eastAsia="Arial" w:cs="Arial" w:ascii="Arial" w:hAnsi="Arial"/>
          <w:b/>
          <w:position w:val="0"/>
          <w:sz w:val="20"/>
          <w:sz w:val="20"/>
          <w:szCs w:val="20"/>
          <w:vertAlign w:val="baseline"/>
        </w:rPr>
        <w:t>a “b.1” do item 1.5.1.1.</w:t>
      </w:r>
    </w:p>
    <w:p>
      <w:pPr>
        <w:pStyle w:val="Normal1"/>
        <w:widowControl w:val="false"/>
        <w:numPr>
          <w:ilvl w:val="1"/>
          <w:numId w:val="2"/>
        </w:numPr>
        <w:tabs>
          <w:tab w:val="clear" w:pos="720"/>
          <w:tab w:val="left" w:pos="1390" w:leader="none"/>
        </w:tabs>
        <w:spacing w:lineRule="auto" w:line="240" w:before="57" w:after="0"/>
        <w:ind w:hanging="0" w:left="397"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t>Profissional Engenheiro Eletricista detentor do Acervo de Responsabilidade Técnica pela execução dos serviços constantes na alínea “b.2” do item 1.5.1.1.</w:t>
      </w:r>
    </w:p>
    <w:p>
      <w:pPr>
        <w:pStyle w:val="Normal1"/>
        <w:widowControl w:val="false"/>
        <w:numPr>
          <w:ilvl w:val="1"/>
          <w:numId w:val="2"/>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b/>
          <w:position w:val="0"/>
          <w:sz w:val="20"/>
          <w:sz w:val="20"/>
          <w:szCs w:val="20"/>
          <w:vertAlign w:val="baseline"/>
        </w:rPr>
        <w:t>Profissional Engenheiro Mecânico detentor do Acervo de Responsabilidade Técnica pela execução dos serviços constantes na alínea “b.3” do item 1.5.1.1.</w:t>
      </w:r>
    </w:p>
    <w:p>
      <w:pPr>
        <w:pStyle w:val="Normal1"/>
        <w:widowControl w:val="false"/>
        <w:numPr>
          <w:ilvl w:val="0"/>
          <w:numId w:val="5"/>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A comprovação de pertencer ao quadro permanente da empresa deverá ser feita mediante uma das seguintes formas:</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Carteira de Trabalho;</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Certidão do CREA;</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Certidão do CAU;</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Contrato Social;</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Contrato de prestação de serviços;</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Contrato de Trabalho registrado na DRT;</w:t>
      </w:r>
    </w:p>
    <w:p>
      <w:pPr>
        <w:pStyle w:val="Normal1"/>
        <w:widowControl w:val="false"/>
        <w:numPr>
          <w:ilvl w:val="1"/>
          <w:numId w:val="5"/>
        </w:numPr>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 xml:space="preserve">Termo, por meio do qual o(s) profissional(is) assuma(m) a responsabilidade técnica pela obra ou serviço licitado e o compromisso de integrar(em) o quadro técnico da empresa, no caso do objeto contratual vir a ser a esta adjudicado. O presente Termo pode ser suprido pela assinatura no </w:t>
      </w:r>
      <w:r>
        <w:rPr>
          <w:rFonts w:eastAsia="Arial" w:cs="Arial" w:ascii="Arial" w:hAnsi="Arial"/>
          <w:position w:val="0"/>
          <w:sz w:val="20"/>
          <w:sz w:val="20"/>
          <w:szCs w:val="20"/>
          <w:vertAlign w:val="baseline"/>
        </w:rPr>
        <w:t>Anexo V do(s</w:t>
      </w:r>
      <w:r>
        <w:rPr>
          <w:rFonts w:eastAsia="Arial" w:cs="Arial" w:ascii="Arial" w:hAnsi="Arial"/>
          <w:position w:val="0"/>
          <w:sz w:val="20"/>
          <w:sz w:val="20"/>
          <w:szCs w:val="20"/>
          <w:highlight w:val="white"/>
          <w:vertAlign w:val="baseline"/>
        </w:rPr>
        <w:t>) profissional(is) que será(ão) responsável(is) pela obra.</w:t>
      </w:r>
    </w:p>
    <w:p>
      <w:pPr>
        <w:pStyle w:val="Normal1"/>
        <w:widowControl w:val="false"/>
        <w:numPr>
          <w:ilvl w:val="0"/>
          <w:numId w:val="5"/>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O(s) profissional(is) indicado(s) pelo Licitante para fins de comprovação da capacitação deverá(ão) participar da obra ou serviço objeto da licitação.</w:t>
      </w:r>
    </w:p>
    <w:p>
      <w:pPr>
        <w:pStyle w:val="Normal1"/>
        <w:widowControl w:val="false"/>
        <w:numPr>
          <w:ilvl w:val="0"/>
          <w:numId w:val="5"/>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highlight w:val="white"/>
          <w:vertAlign w:val="baseline"/>
        </w:rPr>
        <w:t xml:space="preserve"> </w:t>
      </w:r>
      <w:r>
        <w:rPr>
          <w:rFonts w:eastAsia="Arial" w:cs="Arial" w:ascii="Arial" w:hAnsi="Arial"/>
          <w:position w:val="0"/>
          <w:sz w:val="20"/>
          <w:sz w:val="20"/>
          <w:szCs w:val="20"/>
          <w:highlight w:val="white"/>
          <w:vertAlign w:val="baseline"/>
        </w:rPr>
        <w:t xml:space="preserve">Deverá ser apresentado, no mínimo, um acervo técnico desse(s) profissional(is) devidamente acervado(s) pelo CREA e/ou pelo CAU, com comprovação de execução dos serviços constantes na </w:t>
      </w:r>
      <w:r>
        <w:rPr>
          <w:rFonts w:eastAsia="Arial" w:cs="Arial" w:ascii="Arial" w:hAnsi="Arial"/>
          <w:position w:val="0"/>
          <w:sz w:val="20"/>
          <w:sz w:val="20"/>
          <w:szCs w:val="20"/>
          <w:vertAlign w:val="baseline"/>
        </w:rPr>
        <w:t>alínea “b” do item 1.5.1.1.</w:t>
      </w:r>
    </w:p>
    <w:p>
      <w:pPr>
        <w:pStyle w:val="Normal1"/>
        <w:widowControl w:val="false"/>
        <w:numPr>
          <w:ilvl w:val="0"/>
          <w:numId w:val="5"/>
        </w:numPr>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vertAlign w:val="baseline"/>
        </w:rPr>
        <w:t>Apresentar a(s) Certidão(ões) de Registro de Pessoa Física com a regularidade do(s) profissional(is) indicado(s) pelo Licitante junto ao Conselho Regional de Engenharia e Agronomia – CREA e/ou Conselho de Arquitetura e Urbanismo – CAU, dentro de seu prazo de validade.</w:t>
      </w:r>
    </w:p>
    <w:p>
      <w:pPr>
        <w:pStyle w:val="Normal1"/>
        <w:widowControl w:val="false"/>
        <w:tabs>
          <w:tab w:val="clear" w:pos="720"/>
          <w:tab w:val="left" w:pos="993" w:leader="none"/>
        </w:tabs>
        <w:spacing w:lineRule="auto" w:line="240" w:before="57" w:after="0"/>
        <w:ind w:hanging="0"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Demais documentos que o licitante arrematante deverá entregar:</w:t>
      </w:r>
    </w:p>
    <w:p>
      <w:pPr>
        <w:pStyle w:val="Normal1"/>
        <w:widowControl w:val="false"/>
        <w:numPr>
          <w:ilvl w:val="2"/>
          <w:numId w:val="8"/>
        </w:numPr>
        <w:tabs>
          <w:tab w:val="clear" w:pos="720"/>
          <w:tab w:val="left" w:pos="1134" w:leader="none"/>
        </w:tabs>
        <w:spacing w:lineRule="auto" w:line="240" w:before="57" w:after="0"/>
        <w:ind w:hanging="504"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Declaração de Cumprimento de Exigências Legais e Constituciona</w:t>
      </w:r>
      <w:r>
        <w:rPr>
          <w:rFonts w:eastAsia="Arial" w:cs="Arial" w:ascii="Arial" w:hAnsi="Arial"/>
          <w:position w:val="0"/>
          <w:sz w:val="20"/>
          <w:sz w:val="20"/>
          <w:szCs w:val="20"/>
          <w:vertAlign w:val="baseline"/>
        </w:rPr>
        <w:t>is (Anexo VI).</w:t>
      </w:r>
    </w:p>
    <w:p>
      <w:pPr>
        <w:pStyle w:val="Normal1"/>
        <w:widowControl w:val="false"/>
        <w:numPr>
          <w:ilvl w:val="2"/>
          <w:numId w:val="8"/>
        </w:numPr>
        <w:tabs>
          <w:tab w:val="clear" w:pos="720"/>
          <w:tab w:val="left" w:pos="1134" w:leader="none"/>
        </w:tabs>
        <w:spacing w:lineRule="auto" w:line="240" w:before="57" w:after="0"/>
        <w:ind w:hanging="504"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Declaração de que o Licitante se compromete a comprovar, quando da assinatura do contrato, os vínculos, empregatícios ou contratuais, da equipe técnica, no caso de ser a vencedora da presente licitaçã</w:t>
      </w:r>
      <w:r>
        <w:rPr>
          <w:rFonts w:eastAsia="Arial" w:cs="Arial" w:ascii="Arial" w:hAnsi="Arial"/>
          <w:position w:val="0"/>
          <w:sz w:val="20"/>
          <w:sz w:val="20"/>
          <w:szCs w:val="20"/>
          <w:vertAlign w:val="baseline"/>
        </w:rPr>
        <w:t>o (Anexo V).</w:t>
      </w:r>
    </w:p>
    <w:p>
      <w:pPr>
        <w:pStyle w:val="Normal1"/>
        <w:widowControl w:val="false"/>
        <w:numPr>
          <w:ilvl w:val="2"/>
          <w:numId w:val="8"/>
        </w:numPr>
        <w:tabs>
          <w:tab w:val="clear" w:pos="720"/>
          <w:tab w:val="left" w:pos="1134" w:leader="none"/>
        </w:tabs>
        <w:spacing w:lineRule="auto" w:line="240" w:before="57" w:after="0"/>
        <w:ind w:hanging="504"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Declaração de que não possui, em seu quadro funcional, menores de dezoito anos em trabalho noturno, perigoso ou insalubre, nem menores de dezesseis anos, em qualquer trabalho, salvo na condição de aprendiz, a partir de quatorze anos (Lei Federal n.º 9.854 de 27/10/1999)</w:t>
      </w:r>
      <w:r>
        <w:rPr>
          <w:rFonts w:eastAsia="Arial" w:cs="Arial" w:ascii="Arial" w:hAnsi="Arial"/>
          <w:position w:val="0"/>
          <w:sz w:val="20"/>
          <w:sz w:val="20"/>
          <w:szCs w:val="20"/>
          <w:vertAlign w:val="baseline"/>
        </w:rPr>
        <w:t xml:space="preserve"> (Anexo VI).</w:t>
      </w:r>
    </w:p>
    <w:p>
      <w:pPr>
        <w:pStyle w:val="Normal1"/>
        <w:widowControl w:val="false"/>
        <w:numPr>
          <w:ilvl w:val="2"/>
          <w:numId w:val="8"/>
        </w:numPr>
        <w:tabs>
          <w:tab w:val="clear" w:pos="720"/>
          <w:tab w:val="left" w:pos="1134" w:leader="none"/>
        </w:tabs>
        <w:spacing w:lineRule="auto" w:line="240" w:before="57" w:after="0"/>
        <w:ind w:hanging="504"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Os documentos solicitados acima, quando couber, devem estar devidamente assinados, quando necessário.</w:t>
      </w:r>
    </w:p>
    <w:p>
      <w:pPr>
        <w:pStyle w:val="Normal1"/>
        <w:widowControl w:val="false"/>
        <w:numPr>
          <w:ilvl w:val="2"/>
          <w:numId w:val="8"/>
        </w:numPr>
        <w:tabs>
          <w:tab w:val="clear" w:pos="720"/>
          <w:tab w:val="left" w:pos="1134" w:leader="none"/>
        </w:tabs>
        <w:spacing w:lineRule="auto" w:line="240" w:before="57" w:after="0"/>
        <w:ind w:hanging="504"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 xml:space="preserve">Declaração de Compromisso de Utilização de Produtos e Subprodutos de Madeira e de Gerenciamento de Resíduos da Construção </w:t>
      </w:r>
      <w:r>
        <w:rPr>
          <w:rFonts w:eastAsia="Arial" w:cs="Arial" w:ascii="Arial" w:hAnsi="Arial"/>
          <w:position w:val="0"/>
          <w:sz w:val="20"/>
          <w:sz w:val="20"/>
          <w:szCs w:val="20"/>
          <w:vertAlign w:val="baseline"/>
        </w:rPr>
        <w:t>Civil (Anexo VIII).</w:t>
      </w:r>
    </w:p>
    <w:p>
      <w:pPr>
        <w:pStyle w:val="Normal1"/>
        <w:widowControl w:val="false"/>
        <w:numPr>
          <w:ilvl w:val="0"/>
          <w:numId w:val="6"/>
        </w:numPr>
        <w:tabs>
          <w:tab w:val="clear" w:pos="720"/>
          <w:tab w:val="left" w:pos="1475" w:leader="none"/>
        </w:tabs>
        <w:spacing w:lineRule="auto" w:line="240" w:before="57" w:after="0"/>
        <w:ind w:hanging="0" w:left="624"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t>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pPr>
        <w:pStyle w:val="Normal1"/>
        <w:widowControl w:val="false"/>
        <w:numPr>
          <w:ilvl w:val="0"/>
          <w:numId w:val="6"/>
        </w:numPr>
        <w:tabs>
          <w:tab w:val="clear" w:pos="720"/>
          <w:tab w:val="left" w:pos="1475" w:leader="none"/>
        </w:tabs>
        <w:spacing w:lineRule="auto" w:line="240" w:before="57" w:after="0"/>
        <w:ind w:hanging="0" w:left="624" w:right="0"/>
        <w:jc w:val="both"/>
        <w:rPr>
          <w:rFonts w:ascii="Arial" w:hAnsi="Arial" w:eastAsia="Arial" w:cs="Arial"/>
          <w:position w:val="0"/>
          <w:sz w:val="24"/>
          <w:sz w:val="24"/>
          <w:vertAlign w:val="baseline"/>
        </w:rPr>
      </w:pPr>
      <w:r>
        <w:rPr>
          <w:rFonts w:eastAsia="Arial" w:cs="Arial" w:ascii="Arial" w:hAnsi="Arial"/>
          <w:position w:val="0"/>
          <w:sz w:val="20"/>
          <w:sz w:val="20"/>
          <w:szCs w:val="20"/>
          <w:highlight w:val="white"/>
          <w:vertAlign w:val="baseline"/>
        </w:rPr>
        <w:t>A contratada fica obrigada a utilizar produtos ou subprodutos de madeira de origem exótica ou nativa que tenham procedência legal, conforme Decreto Estadual n.º 4.889, de 31 de maio de 2005.</w:t>
      </w:r>
    </w:p>
    <w:p>
      <w:pPr>
        <w:pStyle w:val="Normal1"/>
        <w:spacing w:lineRule="auto" w:line="240" w:before="57" w:after="0"/>
        <w:ind w:hanging="0" w:left="-10" w:right="0"/>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tbl>
      <w:tblPr>
        <w:tblStyle w:val="Table93"/>
        <w:tblW w:w="9085" w:type="dxa"/>
        <w:jc w:val="left"/>
        <w:tblInd w:w="-55" w:type="dxa"/>
        <w:tblLayout w:type="fixed"/>
        <w:tblCellMar>
          <w:top w:w="0" w:type="dxa"/>
          <w:left w:w="108" w:type="dxa"/>
          <w:bottom w:w="0" w:type="dxa"/>
          <w:right w:w="108" w:type="dxa"/>
        </w:tblCellMar>
        <w:tblLook w:val="000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t>53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firstLine="9" w:left="-9"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t>O setor técnico deverá justificar a exigência dos documentos de qualificação técnica e/ou a dispensa de exigência de Atestado de capacidade técnica.</w:t>
            </w:r>
          </w:p>
          <w:p>
            <w:pPr>
              <w:pStyle w:val="Normal1"/>
              <w:shd w:val="clear" w:fill="FFFF00"/>
              <w:spacing w:lineRule="auto" w:line="240" w:before="0" w:after="57"/>
              <w:ind w:firstLine="9" w:left="-9"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t>Observe que as exigências demasiadas poderão prejudicar a competitividade da licitação e ofender ao disposto no inciso XXI do art. 37 da Constituição Federal.</w:t>
            </w:r>
          </w:p>
          <w:p>
            <w:pPr>
              <w:pStyle w:val="Normal1"/>
              <w:shd w:val="clear" w:fill="FFFF00"/>
              <w:spacing w:lineRule="auto" w:line="240" w:before="0" w:after="57"/>
              <w:ind w:firstLine="9" w:left="-9"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t>É indispensável que a Administração examine, no caso concreto, se o objeto da contratação demanda a exigência de todos os requisitos de habilitação apresentados nesse modelo, levando-se em consideração o vulto e/ou a complexidade do objeto.</w:t>
            </w:r>
          </w:p>
          <w:p>
            <w:pPr>
              <w:pStyle w:val="Normal1"/>
              <w:shd w:val="clear" w:fill="FFFF00"/>
              <w:spacing w:lineRule="auto" w:line="240" w:before="0" w:after="57"/>
              <w:jc w:val="both"/>
              <w:rPr>
                <w:position w:val="0"/>
                <w:sz w:val="24"/>
                <w:sz w:val="24"/>
                <w:vertAlign w:val="baseline"/>
              </w:rPr>
            </w:pPr>
            <w:r>
              <w:rPr>
                <w:rFonts w:eastAsia="Arial" w:cs="Arial" w:ascii="Arial" w:hAnsi="Arial"/>
                <w:color w:val="000000"/>
                <w:position w:val="0"/>
                <w:sz w:val="20"/>
                <w:sz w:val="20"/>
                <w:szCs w:val="20"/>
                <w:highlight w:val="yellow"/>
                <w:vertAlign w:val="baselin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conforme previsão contida no § 9.º do art. 67 da Lei Federal n.º 14.133, de 2021.</w:t>
            </w:r>
          </w:p>
          <w:p>
            <w:pPr>
              <w:pStyle w:val="Normal1"/>
              <w:shd w:val="clear" w:fill="FFFF00"/>
              <w:spacing w:lineRule="auto" w:line="240" w:before="0" w:after="57"/>
              <w:jc w:val="both"/>
              <w:rPr>
                <w:position w:val="0"/>
                <w:sz w:val="24"/>
                <w:sz w:val="24"/>
                <w:vertAlign w:val="baseline"/>
              </w:rPr>
            </w:pPr>
            <w:r>
              <w:rPr>
                <w:position w:val="0"/>
                <w:sz w:val="24"/>
                <w:sz w:val="24"/>
                <w:vertAlign w:val="baseline"/>
              </w:rPr>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Conforme estabelece o artigo 67, §§ 1º e 2º, da Lei nº 14.133, de 2021:</w:t>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1º A exigência de atestados será restrita às parcelas de maior relevância ou valor significativo do objeto da licitação, assim consideradas as que tenham valor individual igual ou superior a 4% (quatro por cento) do valor total estimado da contratação.</w:t>
            </w:r>
            <w:bookmarkStart w:id="24" w:name="bookmark=id.1ci93xb"/>
            <w:bookmarkEnd w:id="24"/>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br/>
            </w:r>
          </w:p>
          <w:p>
            <w:pPr>
              <w:pStyle w:val="Normal1"/>
              <w:keepNext w:val="tru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2º Observado o disposto no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caput</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pPr>
              <w:pStyle w:val="Normal1"/>
              <w:shd w:val="clear" w:fill="FFFF00"/>
              <w:spacing w:lineRule="auto" w:line="240" w:before="0" w:after="57"/>
              <w:jc w:val="both"/>
              <w:rPr>
                <w:position w:val="0"/>
                <w:sz w:val="24"/>
                <w:sz w:val="24"/>
                <w:vertAlign w:val="baseline"/>
              </w:rPr>
            </w:pPr>
            <w:r>
              <w:rPr>
                <w:position w:val="0"/>
                <w:sz w:val="24"/>
                <w:sz w:val="24"/>
                <w:vertAlign w:val="baseline"/>
              </w:rPr>
            </w:r>
          </w:p>
          <w:p>
            <w:pPr>
              <w:pStyle w:val="Normal1"/>
              <w:shd w:val="clear" w:fill="FFFF00"/>
              <w:ind w:right="-1"/>
              <w:jc w:val="both"/>
              <w:rPr>
                <w:position w:val="0"/>
                <w:sz w:val="24"/>
                <w:sz w:val="24"/>
                <w:vertAlign w:val="baseline"/>
              </w:rPr>
            </w:pPr>
            <w:r>
              <w:rPr>
                <w:rFonts w:eastAsia="Arial" w:cs="Arial" w:ascii="Arial" w:hAnsi="Arial"/>
                <w:color w:val="000000"/>
                <w:position w:val="0"/>
                <w:sz w:val="20"/>
                <w:sz w:val="20"/>
                <w:szCs w:val="20"/>
                <w:highlight w:val="yellow"/>
                <w:vertAlign w:val="baseline"/>
              </w:rPr>
              <w:t>A Administração, a depender do caso concreto, poderá estabelecer, para o consórcio, um acréscimo de 10% (dez por cento) até 30% (trinta por cento) dos valores exigidos para o licitante individual, para efeitos de qualificação técnica e de qualificação econômico-financeira, inexigível este acréscimo para os consórcios compostos, em sua totalidade, por micros e pequenas empresas, assim definidas em Lei. Nesse caso, deverão ser inseridas disposições expressas neste tópico.</w:t>
            </w:r>
          </w:p>
        </w:tc>
      </w:tr>
    </w:tbl>
    <w:p>
      <w:pPr>
        <w:pStyle w:val="Normal1"/>
        <w:spacing w:lineRule="auto" w:line="240" w:before="57" w:after="0"/>
        <w:ind w:hanging="0" w:left="-10" w:right="0"/>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1"/>
        <w:spacing w:lineRule="auto" w:line="240" w:before="0" w:after="57"/>
        <w:ind w:hanging="0" w:left="-21"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highlight w:val="white"/>
          <w:vertAlign w:val="baseline"/>
        </w:rPr>
        <w:t xml:space="preserve">1.7 </w:t>
      </w:r>
      <w:r>
        <w:rPr>
          <w:rFonts w:eastAsia="Arial" w:cs="Arial" w:ascii="Arial" w:hAnsi="Arial"/>
          <w:b/>
          <w:color w:val="000000"/>
          <w:position w:val="0"/>
          <w:sz w:val="20"/>
          <w:sz w:val="20"/>
          <w:szCs w:val="20"/>
          <w:highlight w:val="white"/>
          <w:u w:val="single"/>
          <w:vertAlign w:val="baseline"/>
        </w:rPr>
        <w:t>COMPROVANTE DA CONDIÇÃO DE ME OU EPP</w:t>
      </w:r>
      <w:r>
        <w:rPr>
          <w:rFonts w:eastAsia="Arial" w:cs="Arial" w:ascii="Arial" w:hAnsi="Arial"/>
          <w:color w:val="000000"/>
          <w:position w:val="0"/>
          <w:sz w:val="20"/>
          <w:sz w:val="20"/>
          <w:szCs w:val="20"/>
          <w:highlight w:val="white"/>
          <w:vertAlign w:val="baseline"/>
        </w:rPr>
        <w:t xml:space="preserve">, se for o caso: Certidão Simplificada original da Junta Comercial da sede do licitante ou documento equivalente, </w:t>
      </w:r>
      <w:r>
        <w:rPr>
          <w:rFonts w:eastAsia="Arial" w:cs="Arial" w:ascii="Arial" w:hAnsi="Arial"/>
          <w:b/>
          <w:color w:val="000000"/>
          <w:position w:val="0"/>
          <w:sz w:val="20"/>
          <w:sz w:val="20"/>
          <w:szCs w:val="20"/>
          <w:highlight w:val="white"/>
          <w:u w:val="single"/>
          <w:vertAlign w:val="baseline"/>
        </w:rPr>
        <w:t>além de Declaração escrita</w:t>
      </w:r>
      <w:r>
        <w:rPr>
          <w:rFonts w:eastAsia="Arial" w:cs="Arial" w:ascii="Arial" w:hAnsi="Arial"/>
          <w:color w:val="000000"/>
          <w:position w:val="0"/>
          <w:sz w:val="20"/>
          <w:sz w:val="20"/>
          <w:szCs w:val="20"/>
          <w:highlight w:val="white"/>
          <w:vertAlign w:val="baseline"/>
        </w:rPr>
        <w:t xml:space="preserve"> sob as penas da lei, de que cumpre os requisitos legais de qualificação da condição de microempresa, de empresa de pequeno porte ou microempreendedor individual, estando apto a usufruir dos benefícios previstos nos art. 42 a art. 49 da Lei Complementar Federal n.º 123, de 2006 </w:t>
      </w:r>
      <w:r>
        <w:rPr>
          <w:rFonts w:eastAsia="Arial" w:cs="Arial" w:ascii="Arial" w:hAnsi="Arial"/>
          <w:b/>
          <w:color w:val="000000"/>
          <w:position w:val="0"/>
          <w:sz w:val="20"/>
          <w:sz w:val="20"/>
          <w:szCs w:val="20"/>
          <w:vertAlign w:val="baseline"/>
        </w:rPr>
        <w:t>(ANEXO VIII)</w:t>
      </w:r>
      <w:r>
        <w:rPr>
          <w:rFonts w:eastAsia="Arial" w:cs="Arial" w:ascii="Arial" w:hAnsi="Arial"/>
          <w:color w:val="000000"/>
          <w:position w:val="0"/>
          <w:sz w:val="20"/>
          <w:sz w:val="20"/>
          <w:szCs w:val="20"/>
          <w:vertAlign w:val="baseline"/>
        </w:rPr>
        <w:t>,</w:t>
      </w:r>
      <w:r>
        <w:rPr>
          <w:rFonts w:eastAsia="Arial" w:cs="Arial" w:ascii="Arial" w:hAnsi="Arial"/>
          <w:color w:val="000000"/>
          <w:position w:val="0"/>
          <w:sz w:val="20"/>
          <w:sz w:val="20"/>
          <w:szCs w:val="20"/>
          <w:highlight w:val="white"/>
          <w:vertAlign w:val="baseline"/>
        </w:rPr>
        <w:t xml:space="preserve"> bem como o Demonstrativo de Resultado do Exercício – DRE, a que se refere a Resolução n.º 1.418, de 2012, de Conselho Federal de Contabilidade – CFC, ou outra norma que vier a substituir (art. 12, parágrafo único, do Decreto Estadual n.º 2.474, de 2015).</w:t>
      </w:r>
    </w:p>
    <w:p>
      <w:pPr>
        <w:pStyle w:val="Normal1"/>
        <w:spacing w:lineRule="auto" w:line="240" w:before="0" w:after="57"/>
        <w:ind w:firstLine="13" w:left="-13"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1.7.1</w:t>
      </w:r>
      <w:r>
        <w:rPr>
          <w:rFonts w:eastAsia="Arial" w:cs="Arial" w:ascii="Arial" w:hAnsi="Arial"/>
          <w:color w:val="000000"/>
          <w:position w:val="0"/>
          <w:sz w:val="20"/>
          <w:sz w:val="20"/>
          <w:szCs w:val="20"/>
          <w:vertAlign w:val="baseline"/>
        </w:rPr>
        <w:t xml:space="preserve"> De acordo com o art. 43, §1°, da Lei Complementar Federal n° 123, de 2006, havendo alguma restrição na comprovação da regularidade fiscal e trabalhista das microempresas, empresas de pequeno porte ou microempreendedor individual,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pPr>
        <w:pStyle w:val="Normal1"/>
        <w:spacing w:lineRule="auto" w:line="240" w:before="0" w:after="57"/>
        <w:ind w:firstLine="13" w:left="-13"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1.7.1.1</w:t>
      </w:r>
      <w:r>
        <w:rPr>
          <w:rFonts w:eastAsia="Arial" w:cs="Arial" w:ascii="Arial" w:hAnsi="Arial"/>
          <w:color w:val="000000"/>
          <w:position w:val="0"/>
          <w:sz w:val="20"/>
          <w:sz w:val="20"/>
          <w:szCs w:val="20"/>
          <w:vertAlign w:val="baseline"/>
        </w:rPr>
        <w:t xml:space="preserve"> A prorrogação do prazo previsto no item anterior deverá ser concedida pela Administração sempre que requerida pelo licitante, salvo na hipótese de urgência da contratação, devidamente justificada.</w:t>
      </w:r>
    </w:p>
    <w:p>
      <w:pPr>
        <w:pStyle w:val="Normal1"/>
        <w:spacing w:lineRule="auto" w:line="240" w:before="0"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1.7</w:t>
      </w:r>
      <w:r>
        <w:rPr>
          <w:rFonts w:eastAsia="Arial" w:cs="Arial" w:ascii="Arial" w:hAnsi="Arial"/>
          <w:color w:val="000000"/>
          <w:position w:val="0"/>
          <w:sz w:val="20"/>
          <w:sz w:val="20"/>
          <w:szCs w:val="20"/>
          <w:vertAlign w:val="baseline"/>
        </w:rPr>
        <w:t>.2não-regularização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pPr>
        <w:pStyle w:val="Normal1"/>
        <w:spacing w:lineRule="auto" w:line="240" w:before="0" w:after="57"/>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1.9</w:t>
      </w:r>
      <w:r>
        <w:rPr>
          <w:rFonts w:eastAsia="Arial" w:cs="Arial" w:ascii="Arial" w:hAnsi="Arial"/>
          <w:color w:val="000000"/>
          <w:position w:val="0"/>
          <w:sz w:val="20"/>
          <w:sz w:val="20"/>
          <w:szCs w:val="20"/>
          <w:vertAlign w:val="baseline"/>
        </w:rPr>
        <w:t xml:space="preserve"> Na hipótese do item 1.7.1, as microempresas, as empresas de pequeno porte e os microempreendedores individuais deverão apresentar toda a documentação exigida para efeito de comprovação de regularidade fiscal e trabalhista, mesmo que esta apresente alguma restrição.</w:t>
      </w:r>
    </w:p>
    <w:p>
      <w:pPr>
        <w:pStyle w:val="Normal1"/>
        <w:spacing w:lineRule="auto" w:line="240" w:before="0" w:after="57"/>
        <w:jc w:val="both"/>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vertAlign w:val="baseline"/>
        </w:rPr>
        <w:t>1.10</w:t>
      </w:r>
      <w:r>
        <w:rPr>
          <w:rFonts w:eastAsia="Arial" w:cs="Arial" w:ascii="Arial" w:hAnsi="Arial"/>
          <w:color w:val="000000"/>
          <w:position w:val="0"/>
          <w:sz w:val="20"/>
          <w:sz w:val="20"/>
          <w:szCs w:val="20"/>
          <w:vertAlign w:val="baseline"/>
        </w:rPr>
        <w:t xml:space="preserve"> Eventuais informações/certidões vencidas no registro cadastral deverão ser supridas pela apresentação do respectivo documento atualizado.</w:t>
      </w:r>
    </w:p>
    <w:p>
      <w:pPr>
        <w:pStyle w:val="Normal1"/>
        <w:tabs>
          <w:tab w:val="clear" w:pos="720"/>
          <w:tab w:val="left" w:pos="993" w:leader="none"/>
          <w:tab w:val="center" w:pos="4252" w:leader="none"/>
          <w:tab w:val="right" w:pos="8504" w:leader="none"/>
        </w:tabs>
        <w:spacing w:lineRule="auto" w:line="240" w:before="0" w:after="57"/>
        <w:jc w:val="both"/>
        <w:rPr>
          <w:rFonts w:ascii="Arial" w:hAnsi="Arial" w:eastAsia="Arial" w:cs="Arial"/>
          <w:b/>
          <w:position w:val="0"/>
          <w:sz w:val="12"/>
          <w:sz w:val="12"/>
          <w:szCs w:val="12"/>
          <w:vertAlign w:val="baseline"/>
        </w:rPr>
      </w:pPr>
      <w:r>
        <w:rPr>
          <w:rFonts w:eastAsia="Arial" w:cs="Arial" w:ascii="Arial" w:hAnsi="Arial"/>
          <w:b/>
          <w:color w:val="000000"/>
          <w:position w:val="0"/>
          <w:sz w:val="20"/>
          <w:sz w:val="20"/>
          <w:szCs w:val="20"/>
          <w:highlight w:val="white"/>
          <w:vertAlign w:val="baseline"/>
        </w:rPr>
        <w:t xml:space="preserve">1.11 </w:t>
      </w:r>
      <w:r>
        <w:rPr>
          <w:rFonts w:eastAsia="Arial" w:cs="Arial" w:ascii="Arial" w:hAnsi="Arial"/>
          <w:color w:val="000000"/>
          <w:position w:val="0"/>
          <w:sz w:val="20"/>
          <w:sz w:val="20"/>
          <w:szCs w:val="20"/>
          <w:highlight w:val="white"/>
          <w:vertAlign w:val="baseline"/>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apresentada pela MATRIZ, e o fornecimento for através de sua filial, o CNPJ da filial deverá constar da proposta.</w:t>
      </w:r>
      <w:r>
        <w:br w:type="page"/>
      </w:r>
    </w:p>
    <w:p>
      <w:pPr>
        <w:pStyle w:val="Normal1"/>
        <w:shd w:val="clear" w:fill="FFFFFF"/>
        <w:tabs>
          <w:tab w:val="clear" w:pos="720"/>
          <w:tab w:val="left" w:pos="284" w:leader="none"/>
        </w:tabs>
        <w:spacing w:lineRule="auto" w:line="240" w:before="0" w:after="0"/>
        <w:rPr>
          <w:rFonts w:ascii="Arial" w:hAnsi="Arial" w:eastAsia="Arial" w:cs="Arial"/>
          <w:b/>
          <w:position w:val="0"/>
          <w:sz w:val="12"/>
          <w:sz w:val="12"/>
          <w:szCs w:val="12"/>
          <w:vertAlign w:val="baseline"/>
        </w:rPr>
      </w:pPr>
      <w:r>
        <w:rPr>
          <w:rFonts w:eastAsia="Arial" w:cs="Arial" w:ascii="Arial" w:hAnsi="Arial"/>
          <w:b/>
          <w:position w:val="0"/>
          <w:sz w:val="12"/>
          <w:sz w:val="12"/>
          <w:szCs w:val="12"/>
          <w:vertAlign w:val="baseline"/>
        </w:rPr>
      </w:r>
    </w:p>
    <w:p>
      <w:pPr>
        <w:pStyle w:val="Normal1"/>
        <w:jc w:val="center"/>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p>
    <w:p>
      <w:pPr>
        <w:pStyle w:val="Normal1"/>
        <w:keepNext w:val="false"/>
        <w:keepLines w:val="false"/>
        <w:pageBreakBefore w:val="false"/>
        <w:widowControl/>
        <w:shd w:val="clear" w:fill="auto"/>
        <w:tabs>
          <w:tab w:val="clear" w:pos="720"/>
          <w:tab w:val="left" w:pos="320" w:leader="none"/>
        </w:tabs>
        <w:spacing w:lineRule="auto" w:line="240" w:before="0" w:after="0"/>
        <w:ind w:hanging="0" w:left="18" w:right="0"/>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ANEXO XVI</w:t>
      </w:r>
    </w:p>
    <w:p>
      <w:pPr>
        <w:pStyle w:val="Normal1"/>
        <w:keepNext w:val="false"/>
        <w:keepLines w:val="false"/>
        <w:pageBreakBefore w:val="false"/>
        <w:widowControl/>
        <w:shd w:val="clear" w:fill="auto"/>
        <w:tabs>
          <w:tab w:val="clear" w:pos="720"/>
          <w:tab w:val="left" w:pos="320" w:leader="none"/>
        </w:tabs>
        <w:spacing w:lineRule="auto" w:line="240" w:before="0" w:after="0"/>
        <w:ind w:hanging="0" w:left="18" w:right="0"/>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p>
      <w:pPr>
        <w:pStyle w:val="Normal1"/>
        <w:keepNext w:val="false"/>
        <w:keepLines w:val="false"/>
        <w:pageBreakBefore w:val="false"/>
        <w:widowControl/>
        <w:shd w:val="clear" w:fill="auto"/>
        <w:tabs>
          <w:tab w:val="clear" w:pos="720"/>
          <w:tab w:val="left" w:pos="320" w:leader="none"/>
        </w:tabs>
        <w:spacing w:lineRule="auto" w:line="240" w:before="0" w:after="0"/>
        <w:ind w:hanging="0" w:left="18" w:right="0"/>
        <w:jc w:val="center"/>
        <w:rPr>
          <w:rFonts w:ascii="Arial" w:hAnsi="Arial" w:eastAsia="Arial" w:cs="Arial"/>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p>
      <w:pPr>
        <w:pStyle w:val="Normal1"/>
        <w:tabs>
          <w:tab w:val="clear" w:pos="720"/>
          <w:tab w:val="left" w:pos="532" w:leader="none"/>
        </w:tabs>
        <w:ind w:hanging="0" w:left="266" w:right="-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DECLARAÇÃO LGPD.</w:t>
      </w:r>
    </w:p>
    <w:p>
      <w:pPr>
        <w:pStyle w:val="Normal1"/>
        <w:tabs>
          <w:tab w:val="clear" w:pos="720"/>
          <w:tab w:val="left" w:pos="532" w:leader="none"/>
        </w:tabs>
        <w:ind w:hanging="0" w:left="266" w:right="-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position w:val="0"/>
          <w:sz w:val="20"/>
          <w:sz w:val="20"/>
          <w:szCs w:val="20"/>
          <w:highlight w:val="yellow"/>
          <w:vertAlign w:val="baseline"/>
        </w:rPr>
        <w:t>XXXXXXXX</w:t>
      </w:r>
      <w:r>
        <w:rPr>
          <w:rFonts w:eastAsia="Arial" w:cs="Arial" w:ascii="Arial" w:hAnsi="Arial"/>
          <w:position w:val="0"/>
          <w:sz w:val="20"/>
          <w:sz w:val="20"/>
          <w:szCs w:val="20"/>
          <w:vertAlign w:val="baseline"/>
        </w:rPr>
        <w:t xml:space="preserve">, inscrito no CNPJ n.º </w:t>
      </w:r>
      <w:r>
        <w:rPr>
          <w:rFonts w:eastAsia="Arial" w:cs="Arial" w:ascii="Arial" w:hAnsi="Arial"/>
          <w:position w:val="0"/>
          <w:sz w:val="20"/>
          <w:sz w:val="20"/>
          <w:szCs w:val="20"/>
          <w:highlight w:val="yellow"/>
          <w:vertAlign w:val="baseline"/>
        </w:rPr>
        <w:t>XXXXXXXX</w:t>
      </w:r>
      <w:r>
        <w:rPr>
          <w:rFonts w:eastAsia="Arial" w:cs="Arial" w:ascii="Arial" w:hAnsi="Arial"/>
          <w:position w:val="0"/>
          <w:sz w:val="20"/>
          <w:sz w:val="20"/>
          <w:szCs w:val="20"/>
          <w:vertAlign w:val="baseline"/>
        </w:rPr>
        <w:t xml:space="preserve">, por intermédio de seu representante legal, o(a) Sr.(a) </w:t>
      </w:r>
      <w:r>
        <w:rPr>
          <w:rFonts w:eastAsia="Arial" w:cs="Arial" w:ascii="Arial" w:hAnsi="Arial"/>
          <w:position w:val="0"/>
          <w:sz w:val="20"/>
          <w:sz w:val="20"/>
          <w:szCs w:val="20"/>
          <w:highlight w:val="yellow"/>
          <w:vertAlign w:val="baseline"/>
        </w:rPr>
        <w:t>XXXXXXXX</w:t>
      </w:r>
      <w:r>
        <w:rPr>
          <w:rFonts w:eastAsia="Arial" w:cs="Arial" w:ascii="Arial" w:hAnsi="Arial"/>
          <w:position w:val="0"/>
          <w:sz w:val="20"/>
          <w:sz w:val="20"/>
          <w:szCs w:val="20"/>
          <w:vertAlign w:val="baseline"/>
        </w:rPr>
        <w:t xml:space="preserve">, portador(a) da Carteira de Identidade n.º </w:t>
      </w:r>
      <w:r>
        <w:rPr>
          <w:rFonts w:eastAsia="Arial" w:cs="Arial" w:ascii="Arial" w:hAnsi="Arial"/>
          <w:position w:val="0"/>
          <w:sz w:val="20"/>
          <w:sz w:val="20"/>
          <w:szCs w:val="20"/>
          <w:highlight w:val="yellow"/>
          <w:vertAlign w:val="baseline"/>
        </w:rPr>
        <w:t>XXXXXXXX</w:t>
      </w:r>
      <w:r>
        <w:rPr>
          <w:rFonts w:eastAsia="Arial" w:cs="Arial" w:ascii="Arial" w:hAnsi="Arial"/>
          <w:position w:val="0"/>
          <w:sz w:val="20"/>
          <w:sz w:val="20"/>
          <w:szCs w:val="20"/>
          <w:vertAlign w:val="baseline"/>
        </w:rPr>
        <w:t xml:space="preserve"> e do CPF n.º </w:t>
      </w:r>
      <w:r>
        <w:rPr>
          <w:rFonts w:eastAsia="Arial" w:cs="Arial" w:ascii="Arial" w:hAnsi="Arial"/>
          <w:position w:val="0"/>
          <w:sz w:val="20"/>
          <w:sz w:val="20"/>
          <w:szCs w:val="20"/>
          <w:highlight w:val="yellow"/>
          <w:vertAlign w:val="baseline"/>
        </w:rPr>
        <w:t>XXXXXXXX</w:t>
      </w:r>
      <w:r>
        <w:rPr>
          <w:rFonts w:eastAsia="Arial" w:cs="Arial" w:ascii="Arial" w:hAnsi="Arial"/>
          <w:position w:val="0"/>
          <w:sz w:val="20"/>
          <w:sz w:val="20"/>
          <w:szCs w:val="20"/>
          <w:vertAlign w:val="baseline"/>
        </w:rPr>
        <w:t>, DECLARA, para os devidos fins, que tem pleno conhecimento das regras contidas no edital de licitação e que possui as condições de habilitação previstas no edital, bem como tem ciência de que:</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 </w:t>
      </w:r>
      <w:r>
        <w:rPr>
          <w:rFonts w:eastAsia="Arial" w:cs="Arial" w:ascii="Arial" w:hAnsi="Arial"/>
          <w:color w:val="000000"/>
          <w:position w:val="0"/>
          <w:sz w:val="20"/>
          <w:sz w:val="20"/>
          <w:szCs w:val="20"/>
          <w:vertAlign w:val="baseline"/>
        </w:rPr>
        <w:t>Como condição para participar desta licitação e ser contratado(a), o(a) interessado(a) deve fornecer para a Administração Pública diversos dados pessoais, entre eles:</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1.1. </w:t>
      </w:r>
      <w:r>
        <w:rPr>
          <w:rFonts w:eastAsia="Arial" w:cs="Arial" w:ascii="Arial" w:hAnsi="Arial"/>
          <w:color w:val="000000"/>
          <w:position w:val="0"/>
          <w:sz w:val="20"/>
          <w:sz w:val="20"/>
          <w:szCs w:val="20"/>
          <w:vertAlign w:val="baseline"/>
        </w:rPr>
        <w:t>aqueles inerentes a documentos de identificação;</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1.2.</w:t>
      </w:r>
      <w:r>
        <w:rPr>
          <w:rFonts w:eastAsia="Arial" w:cs="Arial" w:ascii="Arial" w:hAnsi="Arial"/>
          <w:color w:val="000000"/>
          <w:position w:val="0"/>
          <w:sz w:val="20"/>
          <w:sz w:val="20"/>
          <w:szCs w:val="20"/>
          <w:vertAlign w:val="baseline"/>
        </w:rPr>
        <w:t xml:space="preserve"> referentes a participações societárias;</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1.3. </w:t>
      </w:r>
      <w:r>
        <w:rPr>
          <w:rFonts w:eastAsia="Arial" w:cs="Arial" w:ascii="Arial" w:hAnsi="Arial"/>
          <w:color w:val="000000"/>
          <w:position w:val="0"/>
          <w:sz w:val="20"/>
          <w:sz w:val="20"/>
          <w:szCs w:val="20"/>
          <w:vertAlign w:val="baseline"/>
        </w:rPr>
        <w:t>informações inseridas em contratos sociais;</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1.4. </w:t>
      </w:r>
      <w:r>
        <w:rPr>
          <w:rFonts w:eastAsia="Arial" w:cs="Arial" w:ascii="Arial" w:hAnsi="Arial"/>
          <w:color w:val="000000"/>
          <w:position w:val="0"/>
          <w:sz w:val="20"/>
          <w:sz w:val="20"/>
          <w:szCs w:val="20"/>
          <w:vertAlign w:val="baseline"/>
        </w:rPr>
        <w:t>endereços físicos e eletrônicos;</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1.5.</w:t>
      </w:r>
      <w:r>
        <w:rPr>
          <w:rFonts w:eastAsia="Arial" w:cs="Arial" w:ascii="Arial" w:hAnsi="Arial"/>
          <w:color w:val="000000"/>
          <w:position w:val="0"/>
          <w:sz w:val="20"/>
          <w:sz w:val="20"/>
          <w:szCs w:val="20"/>
          <w:vertAlign w:val="baseline"/>
        </w:rPr>
        <w:t xml:space="preserve"> estado civil;</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1.6. </w:t>
      </w:r>
      <w:r>
        <w:rPr>
          <w:rFonts w:eastAsia="Arial" w:cs="Arial" w:ascii="Arial" w:hAnsi="Arial"/>
          <w:color w:val="000000"/>
          <w:position w:val="0"/>
          <w:sz w:val="20"/>
          <w:sz w:val="20"/>
          <w:szCs w:val="20"/>
          <w:vertAlign w:val="baseline"/>
        </w:rPr>
        <w:t>eventuais informações sobre cônjuges;</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1.7. </w:t>
      </w:r>
      <w:r>
        <w:rPr>
          <w:rFonts w:eastAsia="Arial" w:cs="Arial" w:ascii="Arial" w:hAnsi="Arial"/>
          <w:color w:val="000000"/>
          <w:position w:val="0"/>
          <w:sz w:val="20"/>
          <w:sz w:val="20"/>
          <w:szCs w:val="20"/>
          <w:vertAlign w:val="baseline"/>
        </w:rPr>
        <w:t>relações de parentesco;</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1.8. </w:t>
      </w:r>
      <w:r>
        <w:rPr>
          <w:rFonts w:eastAsia="Arial" w:cs="Arial" w:ascii="Arial" w:hAnsi="Arial"/>
          <w:color w:val="000000"/>
          <w:position w:val="0"/>
          <w:sz w:val="20"/>
          <w:sz w:val="20"/>
          <w:szCs w:val="20"/>
          <w:vertAlign w:val="baseline"/>
        </w:rPr>
        <w:t>número de telefone;</w:t>
      </w:r>
    </w:p>
    <w:p>
      <w:pPr>
        <w:pStyle w:val="Normal1"/>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1.9. </w:t>
      </w:r>
      <w:r>
        <w:rPr>
          <w:rFonts w:eastAsia="Arial" w:cs="Arial" w:ascii="Arial" w:hAnsi="Arial"/>
          <w:color w:val="000000"/>
          <w:position w:val="0"/>
          <w:sz w:val="20"/>
          <w:sz w:val="20"/>
          <w:szCs w:val="20"/>
          <w:vertAlign w:val="baseline"/>
        </w:rPr>
        <w:t>sanções administrativas que esteja cumprindo perante a Administração Pública;</w:t>
      </w:r>
    </w:p>
    <w:p>
      <w:pPr>
        <w:pStyle w:val="Normal1"/>
        <w:tabs>
          <w:tab w:val="clear" w:pos="720"/>
          <w:tab w:val="left" w:pos="320" w:leader="none"/>
        </w:tabs>
        <w:spacing w:lineRule="auto" w:line="240" w:before="0" w:after="57"/>
        <w:ind w:hanging="0" w:left="18" w:right="0"/>
        <w:jc w:val="both"/>
        <w:rPr>
          <w:rFonts w:ascii="Arial" w:hAnsi="Arial" w:eastAsia="Arial" w:cs="Arial"/>
          <w:color w:val="000000"/>
          <w:position w:val="0"/>
          <w:sz w:val="20"/>
          <w:sz w:val="20"/>
          <w:szCs w:val="20"/>
          <w:vertAlign w:val="baseline"/>
        </w:rPr>
      </w:pPr>
      <w:r>
        <w:rPr>
          <w:rFonts w:eastAsia="Arial" w:cs="Arial" w:ascii="Arial" w:hAnsi="Arial"/>
          <w:b/>
          <w:color w:val="000000"/>
          <w:position w:val="0"/>
          <w:sz w:val="20"/>
          <w:sz w:val="20"/>
          <w:szCs w:val="20"/>
          <w:vertAlign w:val="baseline"/>
        </w:rPr>
        <w:t xml:space="preserve">1.10. </w:t>
      </w:r>
      <w:r>
        <w:rPr>
          <w:rFonts w:eastAsia="Arial" w:cs="Arial" w:ascii="Arial" w:hAnsi="Arial"/>
          <w:color w:val="000000"/>
          <w:position w:val="0"/>
          <w:sz w:val="20"/>
          <w:sz w:val="20"/>
          <w:szCs w:val="20"/>
          <w:vertAlign w:val="baseline"/>
        </w:rPr>
        <w:t>informações sobre eventuais condenações no plano criminal ou por improbidade administrativa; dentre outros necessários à contratação.</w:t>
      </w:r>
    </w:p>
    <w:p>
      <w:pPr>
        <w:pStyle w:val="Normal1"/>
        <w:tabs>
          <w:tab w:val="clear" w:pos="720"/>
          <w:tab w:val="left" w:pos="320" w:leader="none"/>
        </w:tabs>
        <w:spacing w:lineRule="auto" w:line="240" w:before="0" w:after="57"/>
        <w:ind w:hanging="0" w:left="18"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true"/>
        <w:keepLines w:val="false"/>
        <w:pageBreakBefore w:val="false"/>
        <w:widowControl/>
        <w:shd w:val="clear" w:fill="FFFFFF"/>
        <w:spacing w:lineRule="auto" w:line="240" w:before="240" w:after="12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Essas informações constarão do processo administrativo e serão objeto de tratamento por parte da Administração Pública.</w:t>
      </w:r>
    </w:p>
    <w:p>
      <w:pPr>
        <w:pStyle w:val="Normal1"/>
        <w:keepNext w:val="true"/>
        <w:keepLines w:val="false"/>
        <w:pageBreakBefore w:val="false"/>
        <w:widowControl/>
        <w:shd w:val="clear" w:fill="FFFFFF"/>
        <w:spacing w:lineRule="auto" w:line="240" w:before="240" w:after="12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tratamento dos dados pessoais relacionados aos processos de contratação se presume válido, legítimo e, portanto, juridicamente adequado.</w:t>
      </w:r>
    </w:p>
    <w:p>
      <w:pPr>
        <w:pStyle w:val="Normal1"/>
        <w:tabs>
          <w:tab w:val="clear" w:pos="720"/>
          <w:tab w:val="left" w:pos="532" w:leader="none"/>
        </w:tabs>
        <w:ind w:hanging="0" w:left="266" w:right="-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tabs>
          <w:tab w:val="clear" w:pos="720"/>
          <w:tab w:val="left" w:pos="532" w:leader="none"/>
        </w:tabs>
        <w:ind w:hanging="0" w:left="266" w:right="-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tabs>
          <w:tab w:val="clear" w:pos="720"/>
          <w:tab w:val="left" w:pos="320" w:leader="none"/>
        </w:tabs>
        <w:spacing w:lineRule="auto" w:line="240" w:before="0" w:after="57"/>
        <w:ind w:hanging="0" w:left="18" w:right="0"/>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Local e data</w:t>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shd w:val="clear" w:fill="auto"/>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________________________________</w:t>
      </w:r>
    </w:p>
    <w:p>
      <w:pPr>
        <w:pStyle w:val="Normal1"/>
        <w:keepNext w:val="false"/>
        <w:keepLines w:val="false"/>
        <w:pageBreakBefore w:val="false"/>
        <w:widowControl/>
        <w:shd w:val="clear" w:fill="auto"/>
        <w:tabs>
          <w:tab w:val="clear" w:pos="720"/>
          <w:tab w:val="left" w:pos="532" w:leader="none"/>
        </w:tabs>
        <w:spacing w:lineRule="auto" w:line="240" w:before="0" w:after="0"/>
        <w:ind w:hanging="0" w:left="266" w:right="-12"/>
        <w:jc w:val="center"/>
        <w:rPr>
          <w:rFonts w:ascii="Arial" w:hAnsi="Arial" w:eastAsia="Arial" w:cs="Arial"/>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Representante Legal</w:t>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701" w:right="1134" w:gutter="0" w:header="720" w:top="1134" w:footer="1134" w:bottom="119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Ecofont_Spranq_eco_Sans">
    <w:charset w:val="00"/>
    <w:family w:val="swiss"/>
    <w:pitch w:val="variable"/>
  </w:font>
  <w:font w:name="Tahoma">
    <w:charset w:val="00"/>
    <w:family w:val="swiss"/>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Verdana">
    <w:charset w:val="00"/>
    <w:family w:val="roman"/>
    <w:pitch w:val="variable"/>
  </w:font>
  <w:font w:name="Myriad Pro">
    <w:charset w:val="00"/>
    <w:family w:val="roman"/>
    <w:pitch w:val="variable"/>
  </w:font>
  <w:font w:name="Ecofont_Spranq_eco_Sans">
    <w:charset w:val="00"/>
    <w:family w:val="roman"/>
    <w:pitch w:val="variable"/>
  </w:font>
  <w:font w:name="Georgia">
    <w:charset w:val="00"/>
    <w:family w:val="roman"/>
    <w:pitch w:val="variable"/>
  </w:font>
  <w:font w:name="Quattrocento Sans">
    <w:charset w:val="00"/>
    <w:family w:val="roman"/>
    <w:pitch w:val="variable"/>
  </w:font>
  <w:font w:name="Arial Unicode MS">
    <w:charset w:val="00"/>
    <w:family w:val="roman"/>
    <w:pitch w:val="variable"/>
  </w:font>
  <w:font w:name="Noto Sans Symbols">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14"/>
        <w:sz w:val="14"/>
        <w:szCs w:val="14"/>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r>
  </w:p>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14"/>
        <w:sz w:val="14"/>
        <w:szCs w:val="14"/>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t>Procuradoria-Geral do Estado do Paraná</w:t>
    </w:r>
  </w:p>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14"/>
        <w:sz w:val="14"/>
        <w:szCs w:val="14"/>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t>Minuta Padronizada para contratação de serviços de engenharia sem objeto definido – Lei Federal n.º 14.133, de 2021 – Decreto Estadual n.º 10.086, de 2022 – exclusiva ME e EPP.</w:t>
    </w:r>
  </w:p>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t>Atualização: Fevereiro/2025</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14"/>
        <w:sz w:val="14"/>
        <w:szCs w:val="14"/>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r>
  </w:p>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14"/>
        <w:sz w:val="14"/>
        <w:szCs w:val="14"/>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t>Procuradoria-Geral do Estado do Paraná</w:t>
    </w:r>
  </w:p>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14"/>
        <w:sz w:val="14"/>
        <w:szCs w:val="14"/>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t>Minuta Padronizada para contratação de serviços de engenharia sem objeto definido – Lei Federal n.º 14.133, de 2021 – Decreto Estadual n.º 10.086, de 2022 – exclusiva ME e EPP.</w:t>
    </w:r>
  </w:p>
  <w:p>
    <w:pPr>
      <w:pStyle w:val="Normal1"/>
      <w:keepNext w:val="true"/>
      <w:keepLines/>
      <w:pageBreakBefore w:val="false"/>
      <w:widowControl/>
      <w:shd w:val="clear" w:fill="auto"/>
      <w:spacing w:lineRule="auto" w:line="240" w:before="57" w:after="0"/>
      <w:ind w:hanging="0" w:left="0" w:right="0"/>
      <w:jc w:val="both"/>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auto" w:val="clear"/>
        <w:vertAlign w:val="baseline"/>
      </w:rPr>
      <w:t>Atualização: Fevereiro/2025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993" w:leader="none"/>
      </w:tabs>
      <w:spacing w:lineRule="auto" w:line="240" w:before="0" w:after="0"/>
      <w:rPr>
        <w:rFonts w:ascii="Arial" w:hAnsi="Arial" w:eastAsia="Arial" w:cs="Arial"/>
        <w:b/>
        <w:color w:val="262626"/>
        <w:position w:val="0"/>
        <w:sz w:val="22"/>
        <w:sz w:val="22"/>
        <w:szCs w:val="22"/>
        <w:vertAlign w:val="baseline"/>
      </w:rPr>
    </w:pPr>
    <w:r>
      <w:drawing>
        <wp:anchor behindDoc="1" distT="0" distB="0" distL="0" distR="0" simplePos="0" locked="0" layoutInCell="1" allowOverlap="1" relativeHeight="92">
          <wp:simplePos x="0" y="0"/>
          <wp:positionH relativeFrom="column">
            <wp:posOffset>43180</wp:posOffset>
          </wp:positionH>
          <wp:positionV relativeFrom="paragraph">
            <wp:posOffset>42545</wp:posOffset>
          </wp:positionV>
          <wp:extent cx="696595" cy="6985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67" t="-56" r="-67" b="-56"/>
                  <a:stretch>
                    <a:fillRect/>
                  </a:stretch>
                </pic:blipFill>
                <pic:spPr bwMode="auto">
                  <a:xfrm>
                    <a:off x="0" y="0"/>
                    <a:ext cx="696595" cy="698500"/>
                  </a:xfrm>
                  <a:prstGeom prst="rect">
                    <a:avLst/>
                  </a:prstGeom>
                </pic:spPr>
              </pic:pic>
            </a:graphicData>
          </a:graphic>
        </wp:anchor>
      </w:drawing>
    </w:r>
    <w:r>
      <w:rPr>
        <w:rFonts w:eastAsia="Arial" w:cs="Arial" w:ascii="Arial" w:hAnsi="Arial"/>
        <w:b/>
        <w:color w:val="262626"/>
        <w:position w:val="0"/>
        <w:sz w:val="22"/>
        <w:sz w:val="22"/>
        <w:szCs w:val="22"/>
        <w:vertAlign w:val="baseline"/>
      </w:rPr>
      <w:tab/>
      <w:tab/>
      <w:t>ESTADO DO PARANÁ</w:t>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262626"/>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262626"/>
        <w:position w:val="0"/>
        <w:sz w:val="22"/>
        <w:sz w:val="22"/>
        <w:szCs w:val="22"/>
        <w:u w:val="none"/>
        <w:shd w:fill="auto" w:val="clear"/>
        <w:vertAlign w:val="baseline"/>
      </w:rPr>
      <w:tab/>
      <w:tab/>
      <w:t>ÓRGÃO/ENTIDADE ESTADUAL)</w:t>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262626"/>
        <w:position w:val="0"/>
        <w:sz w:val="22"/>
        <w:sz w:val="22"/>
        <w:szCs w:val="22"/>
        <w:u w:val="none"/>
        <w:shd w:fill="auto" w:val="clear"/>
        <w:vertAlign w:val="baseline"/>
      </w:rPr>
      <w:tab/>
      <w:tab/>
    </w:r>
    <w:r>
      <w:rPr>
        <w:rFonts w:eastAsia="Arial" w:cs="Arial" w:ascii="Arial" w:hAnsi="Arial"/>
        <w:b/>
        <w:i w:val="false"/>
        <w:caps w:val="false"/>
        <w:smallCaps w:val="false"/>
        <w:strike w:val="false"/>
        <w:dstrike w:val="false"/>
        <w:color w:val="262626"/>
        <w:position w:val="0"/>
        <w:sz w:val="22"/>
        <w:sz w:val="22"/>
        <w:szCs w:val="22"/>
        <w:u w:val="none"/>
        <w:shd w:fill="auto" w:val="clear"/>
        <w:vertAlign w:val="baseline"/>
      </w:rPr>
      <w:t xml:space="preserve">(SETOR)     </w:t>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262626"/>
        <w:position w:val="0"/>
        <w:sz w:val="22"/>
        <w:sz w:val="22"/>
        <w:szCs w:val="22"/>
        <w:u w:val="none"/>
        <w:shd w:fill="auto" w:val="clear"/>
        <w:vertAlign w:val="baseline"/>
      </w:rPr>
      <w:tab/>
    </w:r>
  </w:p>
  <w:p>
    <w:pPr>
      <w:pStyle w:val="Normal1"/>
      <w:keepNext w:val="false"/>
      <w:keepLines w:val="false"/>
      <w:pageBreakBefore w:val="false"/>
      <w:widowControl/>
      <w:pBdr>
        <w:left w:val="single" w:sz="4" w:space="0" w:color="000000"/>
        <w:right w:val="single" w:sz="4" w:space="0" w:color="000000"/>
      </w:pBdr>
      <w:shd w:val="clear" w:fill="FFFFFF"/>
      <w:tabs>
        <w:tab w:val="clear" w:pos="720"/>
        <w:tab w:val="left" w:pos="5469" w:leader="none"/>
        <w:tab w:val="center" w:pos="8728" w:leader="none"/>
        <w:tab w:val="right" w:pos="12980" w:leader="none"/>
      </w:tabs>
      <w:spacing w:lineRule="auto" w:line="240" w:before="0" w:after="0"/>
      <w:ind w:hanging="0" w:left="2238" w:right="3"/>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left w:val="single" w:sz="4" w:space="0" w:color="000000"/>
        <w:bottom w:val="single" w:sz="4" w:space="0" w:color="000000"/>
        <w:right w:val="single" w:sz="4" w:space="0" w:color="000000"/>
      </w:pBdr>
      <w:shd w:val="clear" w:fill="FFFFFF"/>
      <w:tabs>
        <w:tab w:val="clear" w:pos="720"/>
        <w:tab w:val="left" w:pos="5469" w:leader="none"/>
        <w:tab w:val="center" w:pos="8728" w:leader="none"/>
        <w:tab w:val="right" w:pos="12980" w:leader="none"/>
      </w:tabs>
      <w:spacing w:lineRule="auto" w:line="240" w:before="0" w:after="0"/>
      <w:ind w:hanging="0" w:left="2238" w:right="3"/>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Protocolo n° </w:t>
    </w:r>
    <w:r>
      <w:rPr>
        <w:rFonts w:eastAsia="Arial" w:cs="Arial" w:ascii="Arial" w:hAnsi="Arial"/>
        <w:b/>
        <w:i w:val="false"/>
        <w:caps w:val="false"/>
        <w:smallCaps w:val="false"/>
        <w:strike w:val="false"/>
        <w:dstrike w:val="false"/>
        <w:color w:val="FF0000"/>
        <w:position w:val="0"/>
        <w:sz w:val="14"/>
        <w:sz w:val="14"/>
        <w:szCs w:val="14"/>
        <w:u w:val="single"/>
        <w:shd w:fill="auto" w:val="clear"/>
        <w:vertAlign w:val="baseline"/>
      </w:rPr>
      <w:t xml:space="preserve">                     </w:t>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 Pregão Eletrônico n°  </w:t>
    </w:r>
    <w:r>
      <w:rPr>
        <w:rFonts w:eastAsia="Arial" w:cs="Arial" w:ascii="Arial" w:hAnsi="Arial"/>
        <w:b/>
        <w:i w:val="false"/>
        <w:caps w:val="false"/>
        <w:smallCaps w:val="false"/>
        <w:strike w:val="false"/>
        <w:dstrike w:val="false"/>
        <w:color w:val="FF0000"/>
        <w:position w:val="0"/>
        <w:sz w:val="14"/>
        <w:sz w:val="14"/>
        <w:szCs w:val="14"/>
        <w:u w:val="single"/>
        <w:shd w:fill="auto" w:val="clear"/>
        <w:vertAlign w:val="baseline"/>
      </w:rPr>
      <w:t xml:space="preserve">                       </w:t>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 – EDITAL  (página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91</w:t>
    </w:r>
    <w:r>
      <w:rPr>
        <w:sz w:val="14"/>
        <w:szCs w:val="14"/>
        <w:rFonts w:ascii="Arial" w:hAnsi="Arial"/>
      </w:rPr>
      <w:fldChar w:fldCharType="end"/>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91</w:t>
    </w:r>
    <w:r>
      <w:rPr>
        <w:sz w:val="14"/>
        <w:szCs w:val="14"/>
        <w:rFonts w:ascii="Arial" w:hAnsi="Arial"/>
      </w:rPr>
      <w:fldChar w:fldCharType="end"/>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993" w:leader="none"/>
      </w:tabs>
      <w:spacing w:lineRule="auto" w:line="240" w:before="0" w:after="0"/>
      <w:rPr>
        <w:rFonts w:ascii="Arial" w:hAnsi="Arial" w:eastAsia="Arial" w:cs="Arial"/>
        <w:b/>
        <w:color w:val="262626"/>
        <w:position w:val="0"/>
        <w:sz w:val="22"/>
        <w:sz w:val="22"/>
        <w:szCs w:val="22"/>
        <w:vertAlign w:val="baseline"/>
      </w:rPr>
    </w:pPr>
    <w:r>
      <w:drawing>
        <wp:anchor behindDoc="1" distT="0" distB="0" distL="0" distR="0" simplePos="0" locked="0" layoutInCell="1" allowOverlap="1" relativeHeight="92">
          <wp:simplePos x="0" y="0"/>
          <wp:positionH relativeFrom="column">
            <wp:posOffset>43180</wp:posOffset>
          </wp:positionH>
          <wp:positionV relativeFrom="paragraph">
            <wp:posOffset>42545</wp:posOffset>
          </wp:positionV>
          <wp:extent cx="696595" cy="69850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67" t="-56" r="-67" b="-56"/>
                  <a:stretch>
                    <a:fillRect/>
                  </a:stretch>
                </pic:blipFill>
                <pic:spPr bwMode="auto">
                  <a:xfrm>
                    <a:off x="0" y="0"/>
                    <a:ext cx="696595" cy="698500"/>
                  </a:xfrm>
                  <a:prstGeom prst="rect">
                    <a:avLst/>
                  </a:prstGeom>
                </pic:spPr>
              </pic:pic>
            </a:graphicData>
          </a:graphic>
        </wp:anchor>
      </w:drawing>
    </w:r>
    <w:r>
      <w:rPr>
        <w:rFonts w:eastAsia="Arial" w:cs="Arial" w:ascii="Arial" w:hAnsi="Arial"/>
        <w:b/>
        <w:color w:val="262626"/>
        <w:position w:val="0"/>
        <w:sz w:val="22"/>
        <w:sz w:val="22"/>
        <w:szCs w:val="22"/>
        <w:vertAlign w:val="baseline"/>
      </w:rPr>
      <w:tab/>
      <w:tab/>
      <w:t>ESTADO DO PARANÁ</w:t>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262626"/>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262626"/>
        <w:position w:val="0"/>
        <w:sz w:val="22"/>
        <w:sz w:val="22"/>
        <w:szCs w:val="22"/>
        <w:u w:val="none"/>
        <w:shd w:fill="auto" w:val="clear"/>
        <w:vertAlign w:val="baseline"/>
      </w:rPr>
      <w:tab/>
      <w:tab/>
      <w:t>ÓRGÃO/ENTIDADE ESTADUAL)</w:t>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262626"/>
        <w:position w:val="0"/>
        <w:sz w:val="22"/>
        <w:sz w:val="22"/>
        <w:szCs w:val="22"/>
        <w:u w:val="none"/>
        <w:shd w:fill="auto" w:val="clear"/>
        <w:vertAlign w:val="baseline"/>
      </w:rPr>
      <w:tab/>
      <w:tab/>
    </w:r>
    <w:r>
      <w:rPr>
        <w:rFonts w:eastAsia="Arial" w:cs="Arial" w:ascii="Arial" w:hAnsi="Arial"/>
        <w:b/>
        <w:i w:val="false"/>
        <w:caps w:val="false"/>
        <w:smallCaps w:val="false"/>
        <w:strike w:val="false"/>
        <w:dstrike w:val="false"/>
        <w:color w:val="262626"/>
        <w:position w:val="0"/>
        <w:sz w:val="22"/>
        <w:sz w:val="22"/>
        <w:szCs w:val="22"/>
        <w:u w:val="none"/>
        <w:shd w:fill="auto" w:val="clear"/>
        <w:vertAlign w:val="baseline"/>
      </w:rPr>
      <w:t xml:space="preserve">(SETOR)     </w:t>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FFFFFF"/>
      <w:tabs>
        <w:tab w:val="clear" w:pos="720"/>
        <w:tab w:val="left" w:pos="993"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262626"/>
        <w:position w:val="0"/>
        <w:sz w:val="22"/>
        <w:sz w:val="22"/>
        <w:szCs w:val="22"/>
        <w:u w:val="none"/>
        <w:shd w:fill="auto" w:val="clear"/>
        <w:vertAlign w:val="baseline"/>
      </w:rPr>
      <w:tab/>
    </w:r>
  </w:p>
  <w:p>
    <w:pPr>
      <w:pStyle w:val="Normal1"/>
      <w:keepNext w:val="false"/>
      <w:keepLines w:val="false"/>
      <w:pageBreakBefore w:val="false"/>
      <w:widowControl/>
      <w:pBdr>
        <w:left w:val="single" w:sz="4" w:space="0" w:color="000000"/>
        <w:right w:val="single" w:sz="4" w:space="0" w:color="000000"/>
      </w:pBdr>
      <w:shd w:val="clear" w:fill="FFFFFF"/>
      <w:tabs>
        <w:tab w:val="clear" w:pos="720"/>
        <w:tab w:val="left" w:pos="5469" w:leader="none"/>
        <w:tab w:val="center" w:pos="8728" w:leader="none"/>
        <w:tab w:val="right" w:pos="12980" w:leader="none"/>
      </w:tabs>
      <w:spacing w:lineRule="auto" w:line="240" w:before="0" w:after="0"/>
      <w:ind w:hanging="0" w:left="2238" w:right="3"/>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left w:val="single" w:sz="4" w:space="0" w:color="000000"/>
        <w:bottom w:val="single" w:sz="4" w:space="0" w:color="000000"/>
        <w:right w:val="single" w:sz="4" w:space="0" w:color="000000"/>
      </w:pBdr>
      <w:shd w:val="clear" w:fill="FFFFFF"/>
      <w:tabs>
        <w:tab w:val="clear" w:pos="720"/>
        <w:tab w:val="left" w:pos="5469" w:leader="none"/>
        <w:tab w:val="center" w:pos="8728" w:leader="none"/>
        <w:tab w:val="right" w:pos="12980" w:leader="none"/>
      </w:tabs>
      <w:spacing w:lineRule="auto" w:line="240" w:before="0" w:after="0"/>
      <w:ind w:hanging="0" w:left="2238" w:right="3"/>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Protocolo n° </w:t>
    </w:r>
    <w:r>
      <w:rPr>
        <w:rFonts w:eastAsia="Arial" w:cs="Arial" w:ascii="Arial" w:hAnsi="Arial"/>
        <w:b/>
        <w:i w:val="false"/>
        <w:caps w:val="false"/>
        <w:smallCaps w:val="false"/>
        <w:strike w:val="false"/>
        <w:dstrike w:val="false"/>
        <w:color w:val="FF0000"/>
        <w:position w:val="0"/>
        <w:sz w:val="14"/>
        <w:sz w:val="14"/>
        <w:szCs w:val="14"/>
        <w:u w:val="single"/>
        <w:shd w:fill="auto" w:val="clear"/>
        <w:vertAlign w:val="baseline"/>
      </w:rPr>
      <w:t xml:space="preserve">                     </w:t>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 Pregão Eletrônico n°  </w:t>
    </w:r>
    <w:r>
      <w:rPr>
        <w:rFonts w:eastAsia="Arial" w:cs="Arial" w:ascii="Arial" w:hAnsi="Arial"/>
        <w:b/>
        <w:i w:val="false"/>
        <w:caps w:val="false"/>
        <w:smallCaps w:val="false"/>
        <w:strike w:val="false"/>
        <w:dstrike w:val="false"/>
        <w:color w:val="FF0000"/>
        <w:position w:val="0"/>
        <w:sz w:val="14"/>
        <w:sz w:val="14"/>
        <w:szCs w:val="14"/>
        <w:u w:val="single"/>
        <w:shd w:fill="auto" w:val="clear"/>
        <w:vertAlign w:val="baseline"/>
      </w:rPr>
      <w:t xml:space="preserve">                       </w:t>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 – EDITAL  (página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91</w:t>
    </w:r>
    <w:r>
      <w:rPr>
        <w:sz w:val="14"/>
        <w:szCs w:val="14"/>
        <w:rFonts w:ascii="Arial" w:hAnsi="Arial"/>
      </w:rPr>
      <w:fldChar w:fldCharType="end"/>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91</w:t>
    </w:r>
    <w:r>
      <w:rPr>
        <w:sz w:val="14"/>
        <w:szCs w:val="14"/>
        <w:rFonts w:ascii="Arial" w:hAnsi="Arial"/>
      </w:rPr>
      <w:fldChar w:fldCharType="end"/>
    </w:r>
    <w:r>
      <w:rPr>
        <w:rFonts w:eastAsia="Arial" w:cs="Arial" w:ascii="Arial" w:hAnsi="Arial"/>
        <w:b/>
        <w:i w:val="false"/>
        <w:caps w:val="false"/>
        <w:smallCaps w:val="false"/>
        <w:strike w:val="false"/>
        <w:dstrike w:val="false"/>
        <w:color w:val="262626"/>
        <w:position w:val="0"/>
        <w:sz w:val="14"/>
        <w:sz w:val="14"/>
        <w:szCs w:val="14"/>
        <w:u w:val="single"/>
        <w:shd w:fill="auto" w:val="clear"/>
        <w:vertAlign w:val="baseline"/>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u w:val="none"/>
      </w:rPr>
    </w:lvl>
    <w:lvl w:ilvl="1">
      <w:start w:val="1"/>
      <w:numFmt w:val="decimal"/>
      <w:lvlText w:val="%2."/>
      <w:lvlJc w:val="left"/>
      <w:pPr>
        <w:tabs>
          <w:tab w:val="num" w:pos="0"/>
        </w:tabs>
        <w:ind w:left="1080" w:hanging="360"/>
      </w:pPr>
      <w:rPr>
        <w:u w:val="none"/>
      </w:rPr>
    </w:lvl>
    <w:lvl w:ilvl="2">
      <w:start w:val="1"/>
      <w:numFmt w:val="decimal"/>
      <w:lvlText w:val="%3."/>
      <w:lvlJc w:val="left"/>
      <w:pPr>
        <w:tabs>
          <w:tab w:val="num" w:pos="0"/>
        </w:tabs>
        <w:ind w:left="1440" w:hanging="360"/>
      </w:pPr>
      <w:rPr>
        <w:u w:val="none"/>
      </w:rPr>
    </w:lvl>
    <w:lvl w:ilvl="3">
      <w:start w:val="1"/>
      <w:numFmt w:val="decimal"/>
      <w:lvlText w:val="%4."/>
      <w:lvlJc w:val="left"/>
      <w:pPr>
        <w:tabs>
          <w:tab w:val="num" w:pos="0"/>
        </w:tabs>
        <w:ind w:left="1800" w:hanging="360"/>
      </w:pPr>
      <w:rPr>
        <w:u w:val="none"/>
      </w:rPr>
    </w:lvl>
    <w:lvl w:ilvl="4">
      <w:start w:val="1"/>
      <w:numFmt w:val="decimal"/>
      <w:lvlText w:val="%5."/>
      <w:lvlJc w:val="left"/>
      <w:pPr>
        <w:tabs>
          <w:tab w:val="num" w:pos="0"/>
        </w:tabs>
        <w:ind w:left="2160" w:hanging="360"/>
      </w:pPr>
      <w:rPr>
        <w:u w:val="none"/>
      </w:rPr>
    </w:lvl>
    <w:lvl w:ilvl="5">
      <w:start w:val="1"/>
      <w:numFmt w:val="decimal"/>
      <w:lvlText w:val="%6."/>
      <w:lvlJc w:val="left"/>
      <w:pPr>
        <w:tabs>
          <w:tab w:val="num" w:pos="0"/>
        </w:tabs>
        <w:ind w:left="2520" w:hanging="360"/>
      </w:pPr>
      <w:rPr>
        <w:u w:val="none"/>
      </w:rPr>
    </w:lvl>
    <w:lvl w:ilvl="6">
      <w:start w:val="1"/>
      <w:numFmt w:val="decimal"/>
      <w:lvlText w:val="%7."/>
      <w:lvlJc w:val="left"/>
      <w:pPr>
        <w:tabs>
          <w:tab w:val="num" w:pos="0"/>
        </w:tabs>
        <w:ind w:left="2880" w:hanging="360"/>
      </w:pPr>
      <w:rPr>
        <w:u w:val="none"/>
      </w:rPr>
    </w:lvl>
    <w:lvl w:ilvl="7">
      <w:start w:val="1"/>
      <w:numFmt w:val="decimal"/>
      <w:lvlText w:val="%8."/>
      <w:lvlJc w:val="left"/>
      <w:pPr>
        <w:tabs>
          <w:tab w:val="num" w:pos="0"/>
        </w:tabs>
        <w:ind w:left="3240" w:hanging="360"/>
      </w:pPr>
      <w:rPr>
        <w:u w:val="none"/>
      </w:rPr>
    </w:lvl>
    <w:lvl w:ilvl="8">
      <w:start w:val="1"/>
      <w:numFmt w:val="decimal"/>
      <w:lvlText w:val="%9."/>
      <w:lvlJc w:val="left"/>
      <w:pPr>
        <w:tabs>
          <w:tab w:val="num" w:pos="0"/>
        </w:tabs>
        <w:ind w:left="3600" w:hanging="360"/>
      </w:pPr>
      <w:rPr>
        <w:u w:val="none"/>
      </w:rPr>
    </w:lvl>
  </w:abstractNum>
  <w:abstractNum w:abstractNumId="2">
    <w:lvl w:ilvl="0">
      <w:start w:val="2"/>
      <w:numFmt w:val="lowerLetter"/>
      <w:lvlText w:val="%1)"/>
      <w:lvlJc w:val="left"/>
      <w:pPr>
        <w:tabs>
          <w:tab w:val="num" w:pos="0"/>
        </w:tabs>
        <w:ind w:left="432" w:hanging="432"/>
      </w:pPr>
      <w:rPr>
        <w:vertAlign w:val="baseline"/>
        <w:position w:val="0"/>
        <w:sz w:val="24"/>
        <w:sz w:val="24"/>
        <w:i w:val="false"/>
        <w:b/>
        <w:rFonts w:ascii="Tahoma" w:hAnsi="Tahoma" w:eastAsia="Tahoma" w:cs="Tahoma"/>
      </w:rPr>
    </w:lvl>
    <w:lvl w:ilvl="1">
      <w:start w:val="1"/>
      <w:numFmt w:val="decimal"/>
      <w:lvlText w:val="%1.%2)"/>
      <w:lvlJc w:val="left"/>
      <w:pPr>
        <w:tabs>
          <w:tab w:val="num" w:pos="0"/>
        </w:tabs>
        <w:ind w:left="576" w:hanging="576"/>
      </w:pPr>
      <w:rPr>
        <w:vertAlign w:val="baseline"/>
        <w:position w:val="0"/>
        <w:sz w:val="20"/>
        <w:sz w:val="20"/>
        <w:b/>
        <w:szCs w:val="20"/>
        <w:rFonts w:ascii="Arial" w:hAnsi="Arial" w:eastAsia="Arial" w:cs="Arial"/>
      </w:rPr>
    </w:lvl>
    <w:lvl w:ilvl="2">
      <w:start w:val="1"/>
      <w:numFmt w:val="decimal"/>
      <w:lvlText w:val="%1.%2.%3)"/>
      <w:lvlJc w:val="left"/>
      <w:pPr>
        <w:tabs>
          <w:tab w:val="num" w:pos="0"/>
        </w:tabs>
        <w:ind w:left="720" w:hanging="720"/>
      </w:pPr>
      <w:rPr>
        <w:vertAlign w:val="baseline"/>
        <w:position w:val="0"/>
        <w:sz w:val="24"/>
        <w:sz w:val="24"/>
      </w:rPr>
    </w:lvl>
    <w:lvl w:ilvl="3">
      <w:start w:val="1"/>
      <w:numFmt w:val="decimal"/>
      <w:lvlText w:val="%1.%2.%3.%4"/>
      <w:lvlJc w:val="left"/>
      <w:pPr>
        <w:tabs>
          <w:tab w:val="num" w:pos="0"/>
        </w:tabs>
        <w:ind w:left="864" w:hanging="864"/>
      </w:pPr>
      <w:rPr>
        <w:vertAlign w:val="baseline"/>
        <w:position w:val="0"/>
        <w:sz w:val="24"/>
        <w:sz w:val="24"/>
      </w:rPr>
    </w:lvl>
    <w:lvl w:ilvl="4">
      <w:start w:val="1"/>
      <w:numFmt w:val="decimal"/>
      <w:lvlText w:val="%1.%2.%3.%4.%5"/>
      <w:lvlJc w:val="left"/>
      <w:pPr>
        <w:tabs>
          <w:tab w:val="num" w:pos="0"/>
        </w:tabs>
        <w:ind w:left="1008" w:hanging="1008"/>
      </w:pPr>
      <w:rPr>
        <w:vertAlign w:val="baseline"/>
        <w:position w:val="0"/>
        <w:sz w:val="24"/>
        <w:sz w:val="24"/>
      </w:rPr>
    </w:lvl>
    <w:lvl w:ilvl="5">
      <w:start w:val="1"/>
      <w:numFmt w:val="decimal"/>
      <w:lvlText w:val="%1.%2.%3.%4.%5.%6"/>
      <w:lvlJc w:val="left"/>
      <w:pPr>
        <w:tabs>
          <w:tab w:val="num" w:pos="0"/>
        </w:tabs>
        <w:ind w:left="1152" w:hanging="1152"/>
      </w:pPr>
      <w:rPr>
        <w:vertAlign w:val="baseline"/>
        <w:position w:val="0"/>
        <w:sz w:val="24"/>
        <w:sz w:val="24"/>
      </w:rPr>
    </w:lvl>
    <w:lvl w:ilvl="6">
      <w:start w:val="1"/>
      <w:numFmt w:val="decimal"/>
      <w:lvlText w:val="%1.%2.%3.%4.%5.%6.%7"/>
      <w:lvlJc w:val="left"/>
      <w:pPr>
        <w:tabs>
          <w:tab w:val="num" w:pos="0"/>
        </w:tabs>
        <w:ind w:left="1296" w:hanging="1296"/>
      </w:pPr>
      <w:rPr>
        <w:vertAlign w:val="baseline"/>
        <w:position w:val="0"/>
        <w:sz w:val="24"/>
        <w:sz w:val="24"/>
      </w:rPr>
    </w:lvl>
    <w:lvl w:ilvl="7">
      <w:start w:val="1"/>
      <w:numFmt w:val="decimal"/>
      <w:lvlText w:val="%1.%2.%3.%4.%5.%6.%7.%8"/>
      <w:lvlJc w:val="left"/>
      <w:pPr>
        <w:tabs>
          <w:tab w:val="num" w:pos="0"/>
        </w:tabs>
        <w:ind w:left="1440" w:hanging="1440"/>
      </w:pPr>
      <w:rPr>
        <w:vertAlign w:val="baseline"/>
        <w:position w:val="0"/>
        <w:sz w:val="24"/>
        <w:sz w:val="24"/>
      </w:rPr>
    </w:lvl>
    <w:lvl w:ilvl="8">
      <w:start w:val="1"/>
      <w:numFmt w:val="decimal"/>
      <w:lvlText w:val="%1.%2.%3.%4.%5.%6.%7.%8.%9"/>
      <w:lvlJc w:val="left"/>
      <w:pPr>
        <w:tabs>
          <w:tab w:val="num" w:pos="0"/>
        </w:tabs>
        <w:ind w:left="1584" w:hanging="1584"/>
      </w:pPr>
      <w:rPr>
        <w:vertAlign w:val="baseline"/>
        <w:position w:val="0"/>
        <w:sz w:val="24"/>
        <w:sz w:val="24"/>
      </w:rPr>
    </w:lvl>
  </w:abstractNum>
  <w:abstractNum w:abstractNumId="3">
    <w:lvl w:ilvl="0">
      <w:start w:val="1"/>
      <w:numFmt w:val="lowerLetter"/>
      <w:lvlText w:val="%1)"/>
      <w:lvlJc w:val="left"/>
      <w:pPr>
        <w:tabs>
          <w:tab w:val="num" w:pos="0"/>
        </w:tabs>
        <w:ind w:left="432" w:hanging="432"/>
      </w:pPr>
      <w:rPr>
        <w:vertAlign w:val="baseline"/>
        <w:position w:val="0"/>
        <w:sz w:val="20"/>
        <w:sz w:val="20"/>
        <w:szCs w:val="20"/>
        <w:highlight w:val="white"/>
        <w:rFonts w:ascii="Arial" w:hAnsi="Arial" w:eastAsia="Arial" w:cs="Arial"/>
        <w:color w:val="000000"/>
      </w:rPr>
    </w:lvl>
    <w:lvl w:ilvl="1">
      <w:start w:val="1"/>
      <w:numFmt w:val="decimal"/>
      <w:lvlText w:val="%1.%2)"/>
      <w:lvlJc w:val="left"/>
      <w:pPr>
        <w:tabs>
          <w:tab w:val="num" w:pos="0"/>
        </w:tabs>
        <w:ind w:left="1427" w:hanging="576"/>
      </w:pPr>
      <w:rPr>
        <w:vertAlign w:val="baseline"/>
        <w:position w:val="0"/>
        <w:sz w:val="20"/>
        <w:sz w:val="20"/>
        <w:szCs w:val="20"/>
        <w:rFonts w:ascii="Arial" w:hAnsi="Arial"/>
      </w:rPr>
    </w:lvl>
    <w:lvl w:ilvl="2">
      <w:start w:val="1"/>
      <w:numFmt w:val="decimal"/>
      <w:lvlText w:val="%1.%2.%3)"/>
      <w:lvlJc w:val="left"/>
      <w:pPr>
        <w:tabs>
          <w:tab w:val="num" w:pos="0"/>
        </w:tabs>
        <w:ind w:left="720" w:hanging="720"/>
      </w:pPr>
      <w:rPr>
        <w:vertAlign w:val="baseline"/>
        <w:position w:val="0"/>
        <w:sz w:val="24"/>
        <w:sz w:val="24"/>
      </w:rPr>
    </w:lvl>
    <w:lvl w:ilvl="3">
      <w:start w:val="1"/>
      <w:numFmt w:val="decimal"/>
      <w:lvlText w:val="%1.%2.%3.%4"/>
      <w:lvlJc w:val="left"/>
      <w:pPr>
        <w:tabs>
          <w:tab w:val="num" w:pos="0"/>
        </w:tabs>
        <w:ind w:left="864" w:hanging="864"/>
      </w:pPr>
      <w:rPr>
        <w:vertAlign w:val="baseline"/>
        <w:position w:val="0"/>
        <w:sz w:val="24"/>
        <w:sz w:val="24"/>
      </w:rPr>
    </w:lvl>
    <w:lvl w:ilvl="4">
      <w:start w:val="1"/>
      <w:numFmt w:val="decimal"/>
      <w:lvlText w:val="%1.%2.%3.%4.%5"/>
      <w:lvlJc w:val="left"/>
      <w:pPr>
        <w:tabs>
          <w:tab w:val="num" w:pos="0"/>
        </w:tabs>
        <w:ind w:left="1008" w:hanging="1008"/>
      </w:pPr>
      <w:rPr>
        <w:vertAlign w:val="baseline"/>
        <w:position w:val="0"/>
        <w:sz w:val="24"/>
        <w:sz w:val="24"/>
      </w:rPr>
    </w:lvl>
    <w:lvl w:ilvl="5">
      <w:start w:val="1"/>
      <w:numFmt w:val="decimal"/>
      <w:lvlText w:val="%1.%2.%3.%4.%5.%6"/>
      <w:lvlJc w:val="left"/>
      <w:pPr>
        <w:tabs>
          <w:tab w:val="num" w:pos="0"/>
        </w:tabs>
        <w:ind w:left="1152" w:hanging="1152"/>
      </w:pPr>
      <w:rPr>
        <w:vertAlign w:val="baseline"/>
        <w:position w:val="0"/>
        <w:sz w:val="24"/>
        <w:sz w:val="24"/>
      </w:rPr>
    </w:lvl>
    <w:lvl w:ilvl="6">
      <w:start w:val="1"/>
      <w:numFmt w:val="decimal"/>
      <w:lvlText w:val="%1.%2.%3.%4.%5.%6.%7"/>
      <w:lvlJc w:val="left"/>
      <w:pPr>
        <w:tabs>
          <w:tab w:val="num" w:pos="0"/>
        </w:tabs>
        <w:ind w:left="1296" w:hanging="1296"/>
      </w:pPr>
      <w:rPr>
        <w:vertAlign w:val="baseline"/>
        <w:position w:val="0"/>
        <w:sz w:val="24"/>
        <w:sz w:val="24"/>
      </w:rPr>
    </w:lvl>
    <w:lvl w:ilvl="7">
      <w:start w:val="1"/>
      <w:numFmt w:val="decimal"/>
      <w:lvlText w:val="%1.%2.%3.%4.%5.%6.%7.%8"/>
      <w:lvlJc w:val="left"/>
      <w:pPr>
        <w:tabs>
          <w:tab w:val="num" w:pos="0"/>
        </w:tabs>
        <w:ind w:left="1440" w:hanging="1440"/>
      </w:pPr>
      <w:rPr>
        <w:vertAlign w:val="baseline"/>
        <w:position w:val="0"/>
        <w:sz w:val="24"/>
        <w:sz w:val="24"/>
      </w:rPr>
    </w:lvl>
    <w:lvl w:ilvl="8">
      <w:start w:val="1"/>
      <w:numFmt w:val="decimal"/>
      <w:lvlText w:val="%1.%2.%3.%4.%5.%6.%7.%8.%9"/>
      <w:lvlJc w:val="left"/>
      <w:pPr>
        <w:tabs>
          <w:tab w:val="num" w:pos="0"/>
        </w:tabs>
        <w:ind w:left="1584" w:hanging="1584"/>
      </w:pPr>
      <w:rPr>
        <w:vertAlign w:val="baseline"/>
        <w:position w:val="0"/>
        <w:sz w:val="24"/>
        <w:sz w:val="24"/>
      </w:rPr>
    </w:lvl>
  </w:abstractNum>
  <w:abstractNum w:abstractNumId="4">
    <w:lvl w:ilvl="0">
      <w:start w:val="1"/>
      <w:numFmt w:val="lowerLetter"/>
      <w:lvlText w:val="%1)"/>
      <w:lvlJc w:val="left"/>
      <w:pPr>
        <w:tabs>
          <w:tab w:val="num" w:pos="0"/>
        </w:tabs>
        <w:ind w:left="432" w:hanging="432"/>
      </w:pPr>
      <w:rPr>
        <w:vertAlign w:val="baseline"/>
        <w:position w:val="0"/>
        <w:sz w:val="20"/>
        <w:sz w:val="20"/>
        <w:b/>
        <w:szCs w:val="20"/>
        <w:highlight w:val="white"/>
        <w:rFonts w:ascii="Arial" w:hAnsi="Arial" w:eastAsia="Arial" w:cs="Arial"/>
      </w:rPr>
    </w:lvl>
    <w:lvl w:ilvl="1">
      <w:start w:val="1"/>
      <w:numFmt w:val="decimal"/>
      <w:lvlText w:val="%1.%2)"/>
      <w:lvlJc w:val="left"/>
      <w:pPr>
        <w:tabs>
          <w:tab w:val="num" w:pos="0"/>
        </w:tabs>
        <w:ind w:left="576" w:hanging="576"/>
      </w:pPr>
      <w:rPr>
        <w:vertAlign w:val="baseline"/>
        <w:position w:val="0"/>
        <w:sz w:val="24"/>
        <w:sz w:val="24"/>
      </w:rPr>
    </w:lvl>
    <w:lvl w:ilvl="2">
      <w:start w:val="1"/>
      <w:numFmt w:val="decimal"/>
      <w:lvlText w:val="%1.%2.%3)"/>
      <w:lvlJc w:val="left"/>
      <w:pPr>
        <w:tabs>
          <w:tab w:val="num" w:pos="0"/>
        </w:tabs>
        <w:ind w:left="720" w:hanging="720"/>
      </w:pPr>
      <w:rPr>
        <w:vertAlign w:val="baseline"/>
        <w:position w:val="0"/>
        <w:sz w:val="24"/>
        <w:sz w:val="24"/>
      </w:rPr>
    </w:lvl>
    <w:lvl w:ilvl="3">
      <w:start w:val="1"/>
      <w:numFmt w:val="decimal"/>
      <w:lvlText w:val="%1.%2.%3.%4"/>
      <w:lvlJc w:val="left"/>
      <w:pPr>
        <w:tabs>
          <w:tab w:val="num" w:pos="0"/>
        </w:tabs>
        <w:ind w:left="864" w:hanging="864"/>
      </w:pPr>
      <w:rPr>
        <w:vertAlign w:val="baseline"/>
        <w:position w:val="0"/>
        <w:sz w:val="24"/>
        <w:sz w:val="24"/>
      </w:rPr>
    </w:lvl>
    <w:lvl w:ilvl="4">
      <w:start w:val="1"/>
      <w:numFmt w:val="decimal"/>
      <w:lvlText w:val="%1.%2.%3.%4.%5"/>
      <w:lvlJc w:val="left"/>
      <w:pPr>
        <w:tabs>
          <w:tab w:val="num" w:pos="0"/>
        </w:tabs>
        <w:ind w:left="1008" w:hanging="1008"/>
      </w:pPr>
      <w:rPr>
        <w:vertAlign w:val="baseline"/>
        <w:position w:val="0"/>
        <w:sz w:val="24"/>
        <w:sz w:val="24"/>
      </w:rPr>
    </w:lvl>
    <w:lvl w:ilvl="5">
      <w:start w:val="1"/>
      <w:numFmt w:val="decimal"/>
      <w:lvlText w:val="%1.%2.%3.%4.%5.%6"/>
      <w:lvlJc w:val="left"/>
      <w:pPr>
        <w:tabs>
          <w:tab w:val="num" w:pos="0"/>
        </w:tabs>
        <w:ind w:left="1152" w:hanging="1152"/>
      </w:pPr>
      <w:rPr>
        <w:vertAlign w:val="baseline"/>
        <w:position w:val="0"/>
        <w:sz w:val="24"/>
        <w:sz w:val="24"/>
      </w:rPr>
    </w:lvl>
    <w:lvl w:ilvl="6">
      <w:start w:val="1"/>
      <w:numFmt w:val="decimal"/>
      <w:lvlText w:val="%1.%2.%3.%4.%5.%6.%7"/>
      <w:lvlJc w:val="left"/>
      <w:pPr>
        <w:tabs>
          <w:tab w:val="num" w:pos="0"/>
        </w:tabs>
        <w:ind w:left="1296" w:hanging="1296"/>
      </w:pPr>
      <w:rPr>
        <w:vertAlign w:val="baseline"/>
        <w:position w:val="0"/>
        <w:sz w:val="24"/>
        <w:sz w:val="24"/>
      </w:rPr>
    </w:lvl>
    <w:lvl w:ilvl="7">
      <w:start w:val="1"/>
      <w:numFmt w:val="decimal"/>
      <w:lvlText w:val="%1.%2.%3.%4.%5.%6.%7.%8"/>
      <w:lvlJc w:val="left"/>
      <w:pPr>
        <w:tabs>
          <w:tab w:val="num" w:pos="0"/>
        </w:tabs>
        <w:ind w:left="1440" w:hanging="1440"/>
      </w:pPr>
      <w:rPr>
        <w:vertAlign w:val="baseline"/>
        <w:position w:val="0"/>
        <w:sz w:val="24"/>
        <w:sz w:val="24"/>
      </w:rPr>
    </w:lvl>
    <w:lvl w:ilvl="8">
      <w:start w:val="1"/>
      <w:numFmt w:val="decimal"/>
      <w:lvlText w:val="%1.%2.%3.%4.%5.%6.%7.%8.%9"/>
      <w:lvlJc w:val="left"/>
      <w:pPr>
        <w:tabs>
          <w:tab w:val="num" w:pos="0"/>
        </w:tabs>
        <w:ind w:left="1584" w:hanging="1584"/>
      </w:pPr>
      <w:rPr>
        <w:vertAlign w:val="baseline"/>
        <w:position w:val="0"/>
        <w:sz w:val="24"/>
        <w:sz w:val="24"/>
      </w:rPr>
    </w:lvl>
  </w:abstractNum>
  <w:abstractNum w:abstractNumId="5">
    <w:lvl w:ilvl="0">
      <w:start w:val="1"/>
      <w:numFmt w:val="lowerLetter"/>
      <w:lvlText w:val="%1)"/>
      <w:lvlJc w:val="left"/>
      <w:pPr>
        <w:tabs>
          <w:tab w:val="num" w:pos="0"/>
        </w:tabs>
        <w:ind w:left="432" w:hanging="432"/>
      </w:pPr>
      <w:rPr>
        <w:vertAlign w:val="baseline"/>
        <w:position w:val="0"/>
        <w:sz w:val="20"/>
        <w:sz w:val="20"/>
        <w:b/>
        <w:szCs w:val="20"/>
        <w:rFonts w:ascii="Arial" w:hAnsi="Arial" w:eastAsia="Arial" w:cs="Arial"/>
      </w:rPr>
    </w:lvl>
    <w:lvl w:ilvl="1">
      <w:start w:val="1"/>
      <w:numFmt w:val="decimal"/>
      <w:lvlText w:val="%1.%2)"/>
      <w:lvlJc w:val="left"/>
      <w:pPr>
        <w:tabs>
          <w:tab w:val="num" w:pos="0"/>
        </w:tabs>
        <w:ind w:left="576" w:hanging="576"/>
      </w:pPr>
      <w:rPr>
        <w:vertAlign w:val="baseline"/>
        <w:position w:val="0"/>
        <w:sz w:val="20"/>
        <w:sz w:val="20"/>
        <w:szCs w:val="20"/>
        <w:highlight w:val="white"/>
        <w:rFonts w:ascii="Arial" w:hAnsi="Arial" w:eastAsia="Arial" w:cs="Arial"/>
      </w:rPr>
    </w:lvl>
    <w:lvl w:ilvl="2">
      <w:start w:val="1"/>
      <w:numFmt w:val="decimal"/>
      <w:lvlText w:val="%1.%2.%3)"/>
      <w:lvlJc w:val="left"/>
      <w:pPr>
        <w:tabs>
          <w:tab w:val="num" w:pos="0"/>
        </w:tabs>
        <w:ind w:left="720" w:hanging="720"/>
      </w:pPr>
      <w:rPr>
        <w:vertAlign w:val="baseline"/>
        <w:position w:val="0"/>
        <w:sz w:val="24"/>
        <w:sz w:val="24"/>
      </w:rPr>
    </w:lvl>
    <w:lvl w:ilvl="3">
      <w:start w:val="1"/>
      <w:numFmt w:val="decimal"/>
      <w:lvlText w:val="%1.%2.%3.%4"/>
      <w:lvlJc w:val="left"/>
      <w:pPr>
        <w:tabs>
          <w:tab w:val="num" w:pos="0"/>
        </w:tabs>
        <w:ind w:left="864" w:hanging="864"/>
      </w:pPr>
      <w:rPr>
        <w:vertAlign w:val="baseline"/>
        <w:position w:val="0"/>
        <w:sz w:val="24"/>
        <w:sz w:val="24"/>
      </w:rPr>
    </w:lvl>
    <w:lvl w:ilvl="4">
      <w:start w:val="1"/>
      <w:numFmt w:val="decimal"/>
      <w:lvlText w:val="%1.%2.%3.%4.%5"/>
      <w:lvlJc w:val="left"/>
      <w:pPr>
        <w:tabs>
          <w:tab w:val="num" w:pos="0"/>
        </w:tabs>
        <w:ind w:left="1008" w:hanging="1008"/>
      </w:pPr>
      <w:rPr>
        <w:vertAlign w:val="baseline"/>
        <w:position w:val="0"/>
        <w:sz w:val="24"/>
        <w:sz w:val="24"/>
      </w:rPr>
    </w:lvl>
    <w:lvl w:ilvl="5">
      <w:start w:val="1"/>
      <w:numFmt w:val="decimal"/>
      <w:lvlText w:val="%1.%2.%3.%4.%5.%6"/>
      <w:lvlJc w:val="left"/>
      <w:pPr>
        <w:tabs>
          <w:tab w:val="num" w:pos="0"/>
        </w:tabs>
        <w:ind w:left="1152" w:hanging="1152"/>
      </w:pPr>
      <w:rPr>
        <w:vertAlign w:val="baseline"/>
        <w:position w:val="0"/>
        <w:sz w:val="24"/>
        <w:sz w:val="24"/>
      </w:rPr>
    </w:lvl>
    <w:lvl w:ilvl="6">
      <w:start w:val="1"/>
      <w:numFmt w:val="decimal"/>
      <w:lvlText w:val="%1.%2.%3.%4.%5.%6.%7"/>
      <w:lvlJc w:val="left"/>
      <w:pPr>
        <w:tabs>
          <w:tab w:val="num" w:pos="0"/>
        </w:tabs>
        <w:ind w:left="1296" w:hanging="1296"/>
      </w:pPr>
      <w:rPr>
        <w:vertAlign w:val="baseline"/>
        <w:position w:val="0"/>
        <w:sz w:val="24"/>
        <w:sz w:val="24"/>
      </w:rPr>
    </w:lvl>
    <w:lvl w:ilvl="7">
      <w:start w:val="1"/>
      <w:numFmt w:val="decimal"/>
      <w:lvlText w:val="%1.%2.%3.%4.%5.%6.%7.%8"/>
      <w:lvlJc w:val="left"/>
      <w:pPr>
        <w:tabs>
          <w:tab w:val="num" w:pos="0"/>
        </w:tabs>
        <w:ind w:left="1440" w:hanging="1440"/>
      </w:pPr>
      <w:rPr>
        <w:vertAlign w:val="baseline"/>
        <w:position w:val="0"/>
        <w:sz w:val="24"/>
        <w:sz w:val="24"/>
      </w:rPr>
    </w:lvl>
    <w:lvl w:ilvl="8">
      <w:start w:val="1"/>
      <w:numFmt w:val="decimal"/>
      <w:lvlText w:val="%1.%2.%3.%4.%5.%6.%7.%8.%9"/>
      <w:lvlJc w:val="left"/>
      <w:pPr>
        <w:tabs>
          <w:tab w:val="num" w:pos="0"/>
        </w:tabs>
        <w:ind w:left="1584" w:hanging="1584"/>
      </w:pPr>
      <w:rPr>
        <w:vertAlign w:val="baseline"/>
        <w:position w:val="0"/>
        <w:sz w:val="24"/>
        <w:sz w:val="24"/>
      </w:rPr>
    </w:lvl>
  </w:abstractNum>
  <w:abstractNum w:abstractNumId="6">
    <w:lvl w:ilvl="0">
      <w:start w:val="1"/>
      <w:numFmt w:val="lowerLetter"/>
      <w:lvlText w:val="%1)"/>
      <w:lvlJc w:val="left"/>
      <w:pPr>
        <w:tabs>
          <w:tab w:val="num" w:pos="0"/>
        </w:tabs>
        <w:ind w:left="360" w:hanging="360"/>
      </w:pPr>
      <w:rPr>
        <w:vertAlign w:val="baseline"/>
        <w:position w:val="0"/>
        <w:sz w:val="20"/>
        <w:sz w:val="20"/>
        <w:szCs w:val="20"/>
        <w:rFonts w:ascii="Arial" w:hAnsi="Arial" w:eastAsia="Arial" w:cs="Arial"/>
      </w:rPr>
    </w:lvl>
    <w:lvl w:ilvl="1">
      <w:start w:val="1"/>
      <w:numFmt w:val="decimal"/>
      <w:lvlText w:val="%2."/>
      <w:lvlJc w:val="left"/>
      <w:pPr>
        <w:tabs>
          <w:tab w:val="num" w:pos="0"/>
        </w:tabs>
        <w:ind w:left="1080" w:hanging="360"/>
      </w:pPr>
      <w:rPr>
        <w:vertAlign w:val="baseline"/>
        <w:position w:val="0"/>
        <w:sz w:val="20"/>
        <w:sz w:val="20"/>
        <w:szCs w:val="20"/>
        <w:rFonts w:ascii="Courier New" w:hAnsi="Courier New" w:eastAsia="Courier New" w:cs="Courier New"/>
      </w:rPr>
    </w:lvl>
    <w:lvl w:ilvl="2">
      <w:start w:val="1"/>
      <w:numFmt w:val="decimal"/>
      <w:lvlText w:val="%3."/>
      <w:lvlJc w:val="left"/>
      <w:pPr>
        <w:tabs>
          <w:tab w:val="num" w:pos="0"/>
        </w:tabs>
        <w:ind w:left="1440" w:hanging="360"/>
      </w:pPr>
      <w:rPr>
        <w:vertAlign w:val="baseline"/>
        <w:position w:val="0"/>
        <w:sz w:val="20"/>
        <w:sz w:val="20"/>
        <w:szCs w:val="20"/>
        <w:rFonts w:ascii="Noto Sans Symbols" w:hAnsi="Noto Sans Symbols" w:eastAsia="Noto Sans Symbols" w:cs="Noto Sans Symbols"/>
      </w:rPr>
    </w:lvl>
    <w:lvl w:ilvl="3">
      <w:start w:val="1"/>
      <w:numFmt w:val="decimal"/>
      <w:lvlText w:val="%4."/>
      <w:lvlJc w:val="left"/>
      <w:pPr>
        <w:tabs>
          <w:tab w:val="num" w:pos="0"/>
        </w:tabs>
        <w:ind w:left="1800" w:hanging="360"/>
      </w:pPr>
      <w:rPr>
        <w:vertAlign w:val="baseline"/>
        <w:position w:val="0"/>
        <w:sz w:val="24"/>
        <w:sz w:val="24"/>
      </w:rPr>
    </w:lvl>
    <w:lvl w:ilvl="4">
      <w:start w:val="1"/>
      <w:numFmt w:val="decimal"/>
      <w:lvlText w:val="%5."/>
      <w:lvlJc w:val="left"/>
      <w:pPr>
        <w:tabs>
          <w:tab w:val="num" w:pos="0"/>
        </w:tabs>
        <w:ind w:left="2160" w:hanging="360"/>
      </w:pPr>
      <w:rPr>
        <w:vertAlign w:val="baseline"/>
        <w:position w:val="0"/>
        <w:sz w:val="24"/>
        <w:sz w:val="24"/>
      </w:rPr>
    </w:lvl>
    <w:lvl w:ilvl="5">
      <w:start w:val="1"/>
      <w:numFmt w:val="decimal"/>
      <w:lvlText w:val="%6."/>
      <w:lvlJc w:val="left"/>
      <w:pPr>
        <w:tabs>
          <w:tab w:val="num" w:pos="0"/>
        </w:tabs>
        <w:ind w:left="2520" w:hanging="360"/>
      </w:pPr>
      <w:rPr>
        <w:vertAlign w:val="baseline"/>
        <w:position w:val="0"/>
        <w:sz w:val="24"/>
        <w:sz w:val="24"/>
      </w:rPr>
    </w:lvl>
    <w:lvl w:ilvl="6">
      <w:start w:val="1"/>
      <w:numFmt w:val="decimal"/>
      <w:lvlText w:val="%7."/>
      <w:lvlJc w:val="left"/>
      <w:pPr>
        <w:tabs>
          <w:tab w:val="num" w:pos="0"/>
        </w:tabs>
        <w:ind w:left="2880" w:hanging="360"/>
      </w:pPr>
      <w:rPr>
        <w:vertAlign w:val="baseline"/>
        <w:position w:val="0"/>
        <w:sz w:val="24"/>
        <w:sz w:val="24"/>
      </w:rPr>
    </w:lvl>
    <w:lvl w:ilvl="7">
      <w:start w:val="1"/>
      <w:numFmt w:val="decimal"/>
      <w:lvlText w:val="%8."/>
      <w:lvlJc w:val="left"/>
      <w:pPr>
        <w:tabs>
          <w:tab w:val="num" w:pos="0"/>
        </w:tabs>
        <w:ind w:left="3240" w:hanging="360"/>
      </w:pPr>
      <w:rPr>
        <w:vertAlign w:val="baseline"/>
        <w:position w:val="0"/>
        <w:sz w:val="24"/>
        <w:sz w:val="24"/>
      </w:rPr>
    </w:lvl>
    <w:lvl w:ilvl="8">
      <w:start w:val="1"/>
      <w:numFmt w:val="decimal"/>
      <w:lvlText w:val="%9."/>
      <w:lvlJc w:val="left"/>
      <w:pPr>
        <w:tabs>
          <w:tab w:val="num" w:pos="0"/>
        </w:tabs>
        <w:ind w:left="3600" w:hanging="360"/>
      </w:pPr>
      <w:rPr>
        <w:vertAlign w:val="baseline"/>
        <w:position w:val="0"/>
        <w:sz w:val="24"/>
        <w:sz w:val="24"/>
      </w:rPr>
    </w:lvl>
  </w:abstractNum>
  <w:abstractNum w:abstractNumId="7">
    <w:lvl w:ilvl="0">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1">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2">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3">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4">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5">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6">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7">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8">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abstractNum>
  <w:abstractNum w:abstractNumId="8">
    <w:lvl w:ilvl="0">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white"/>
      </w:rPr>
    </w:lvl>
    <w:lvl w:ilvl="1">
      <w:start w:val="1"/>
      <w:numFmt w:val="decimal"/>
      <w:lvlText w:val="%2."/>
      <w:lvlJc w:val="left"/>
      <w:pPr>
        <w:tabs>
          <w:tab w:val="num" w:pos="0"/>
        </w:tabs>
        <w:ind w:left="0" w:hanging="0"/>
      </w:pPr>
      <w:rPr>
        <w:vertAlign w:val="baseline"/>
        <w:position w:val="0"/>
        <w:sz w:val="20"/>
        <w:sz w:val="20"/>
        <w:b/>
        <w:szCs w:val="20"/>
        <w:highlight w:val="white"/>
        <w:rFonts w:ascii="Arial" w:hAnsi="Arial" w:eastAsia="Arial" w:cs="Arial"/>
      </w:rPr>
    </w:lvl>
    <w:lvl w:ilvl="2">
      <w:start w:val="1"/>
      <w:numFmt w:val="decimal"/>
      <w:lvlText w:val="%3."/>
      <w:lvlJc w:val="left"/>
      <w:pPr>
        <w:tabs>
          <w:tab w:val="num" w:pos="0"/>
        </w:tabs>
        <w:ind w:left="0" w:hanging="0"/>
      </w:pPr>
      <w:rPr>
        <w:vertAlign w:val="baseline"/>
        <w:position w:val="0"/>
        <w:sz w:val="20"/>
        <w:sz w:val="20"/>
        <w:szCs w:val="20"/>
        <w:rFonts w:ascii="Arial" w:hAnsi="Arial" w:eastAsia="Arial" w:cs="Arial"/>
      </w:rPr>
    </w:lvl>
    <w:lvl w:ilvl="3">
      <w:start w:val="1"/>
      <w:numFmt w:val="decimal"/>
      <w:lvlText w:val="%4."/>
      <w:lvlJc w:val="left"/>
      <w:pPr>
        <w:tabs>
          <w:tab w:val="num" w:pos="0"/>
        </w:tabs>
        <w:ind w:left="0" w:hanging="0"/>
      </w:pPr>
      <w:rPr>
        <w:vertAlign w:val="baseline"/>
        <w:position w:val="0"/>
        <w:sz w:val="24"/>
        <w:sz w:val="24"/>
      </w:rPr>
    </w:lvl>
    <w:lvl w:ilvl="4">
      <w:start w:val="1"/>
      <w:numFmt w:val="decimal"/>
      <w:lvlText w:val="%5."/>
      <w:lvlJc w:val="left"/>
      <w:pPr>
        <w:tabs>
          <w:tab w:val="num" w:pos="0"/>
        </w:tabs>
        <w:ind w:left="0" w:hanging="0"/>
      </w:pPr>
      <w:rPr>
        <w:vertAlign w:val="baseline"/>
        <w:position w:val="0"/>
        <w:sz w:val="24"/>
        <w:sz w:val="24"/>
      </w:rPr>
    </w:lvl>
    <w:lvl w:ilvl="5">
      <w:start w:val="1"/>
      <w:numFmt w:val="decimal"/>
      <w:lvlText w:val="%6."/>
      <w:lvlJc w:val="left"/>
      <w:pPr>
        <w:tabs>
          <w:tab w:val="num" w:pos="0"/>
        </w:tabs>
        <w:ind w:left="0" w:hanging="0"/>
      </w:pPr>
      <w:rPr>
        <w:vertAlign w:val="baseline"/>
        <w:position w:val="0"/>
        <w:sz w:val="24"/>
        <w:sz w:val="24"/>
      </w:rPr>
    </w:lvl>
    <w:lvl w:ilvl="6">
      <w:start w:val="1"/>
      <w:numFmt w:val="decimal"/>
      <w:lvlText w:val="%7."/>
      <w:lvlJc w:val="left"/>
      <w:pPr>
        <w:tabs>
          <w:tab w:val="num" w:pos="0"/>
        </w:tabs>
        <w:ind w:left="0" w:hanging="0"/>
      </w:pPr>
      <w:rPr>
        <w:vertAlign w:val="baseline"/>
        <w:position w:val="0"/>
        <w:sz w:val="24"/>
        <w:sz w:val="24"/>
      </w:rPr>
    </w:lvl>
    <w:lvl w:ilvl="7">
      <w:start w:val="1"/>
      <w:numFmt w:val="decimal"/>
      <w:lvlText w:val="%8."/>
      <w:lvlJc w:val="left"/>
      <w:pPr>
        <w:tabs>
          <w:tab w:val="num" w:pos="0"/>
        </w:tabs>
        <w:ind w:left="0" w:hanging="0"/>
      </w:pPr>
      <w:rPr>
        <w:vertAlign w:val="baseline"/>
        <w:position w:val="0"/>
        <w:sz w:val="24"/>
        <w:sz w:val="24"/>
      </w:rPr>
    </w:lvl>
    <w:lvl w:ilvl="8">
      <w:start w:val="1"/>
      <w:numFmt w:val="decimal"/>
      <w:lvlText w:val="%9."/>
      <w:lvlJc w:val="left"/>
      <w:pPr>
        <w:tabs>
          <w:tab w:val="num" w:pos="0"/>
        </w:tabs>
        <w:ind w:left="0" w:hanging="0"/>
      </w:pPr>
      <w:rPr>
        <w:vertAlign w:val="baseline"/>
        <w:position w:val="0"/>
        <w:sz w:val="24"/>
        <w:sz w:val="24"/>
      </w:rPr>
    </w:lvl>
  </w:abstractNum>
  <w:abstractNum w:abstractNumId="9">
    <w:lvl w:ilvl="0">
      <w:start w:val="1"/>
      <w:numFmt w:val="lowerLetter"/>
      <w:lvlText w:val="%1)"/>
      <w:lvlJc w:val="left"/>
      <w:pPr>
        <w:tabs>
          <w:tab w:val="num" w:pos="0"/>
        </w:tabs>
        <w:ind w:left="360" w:hanging="360"/>
      </w:pPr>
      <w:rPr>
        <w:vertAlign w:val="baseline"/>
        <w:position w:val="0"/>
        <w:sz w:val="20"/>
        <w:sz w:val="20"/>
        <w:b/>
        <w:szCs w:val="20"/>
        <w:rFonts w:ascii="Arial" w:hAnsi="Arial" w:eastAsia="Arial" w:cs="Arial"/>
      </w:rPr>
    </w:lvl>
    <w:lvl w:ilvl="1">
      <w:start w:val="1"/>
      <w:numFmt w:val="decimal"/>
      <w:lvlText w:val="%2."/>
      <w:lvlJc w:val="left"/>
      <w:pPr>
        <w:tabs>
          <w:tab w:val="num" w:pos="0"/>
        </w:tabs>
        <w:ind w:left="1080" w:hanging="360"/>
      </w:pPr>
      <w:rPr>
        <w:vertAlign w:val="baseline"/>
        <w:position w:val="0"/>
        <w:sz w:val="24"/>
        <w:sz w:val="24"/>
      </w:rPr>
    </w:lvl>
    <w:lvl w:ilvl="2">
      <w:start w:val="1"/>
      <w:numFmt w:val="decimal"/>
      <w:lvlText w:val="%3."/>
      <w:lvlJc w:val="left"/>
      <w:pPr>
        <w:tabs>
          <w:tab w:val="num" w:pos="0"/>
        </w:tabs>
        <w:ind w:left="1440" w:hanging="360"/>
      </w:pPr>
      <w:rPr>
        <w:vertAlign w:val="baseline"/>
        <w:position w:val="0"/>
        <w:sz w:val="24"/>
        <w:sz w:val="24"/>
      </w:rPr>
    </w:lvl>
    <w:lvl w:ilvl="3">
      <w:start w:val="1"/>
      <w:numFmt w:val="decimal"/>
      <w:lvlText w:val="%4."/>
      <w:lvlJc w:val="left"/>
      <w:pPr>
        <w:tabs>
          <w:tab w:val="num" w:pos="0"/>
        </w:tabs>
        <w:ind w:left="1800" w:hanging="360"/>
      </w:pPr>
      <w:rPr>
        <w:vertAlign w:val="baseline"/>
        <w:position w:val="0"/>
        <w:sz w:val="24"/>
        <w:sz w:val="24"/>
      </w:rPr>
    </w:lvl>
    <w:lvl w:ilvl="4">
      <w:start w:val="1"/>
      <w:numFmt w:val="decimal"/>
      <w:lvlText w:val="%5."/>
      <w:lvlJc w:val="left"/>
      <w:pPr>
        <w:tabs>
          <w:tab w:val="num" w:pos="0"/>
        </w:tabs>
        <w:ind w:left="2160" w:hanging="360"/>
      </w:pPr>
      <w:rPr>
        <w:vertAlign w:val="baseline"/>
        <w:position w:val="0"/>
        <w:sz w:val="24"/>
        <w:sz w:val="24"/>
      </w:rPr>
    </w:lvl>
    <w:lvl w:ilvl="5">
      <w:start w:val="1"/>
      <w:numFmt w:val="decimal"/>
      <w:lvlText w:val="%6."/>
      <w:lvlJc w:val="left"/>
      <w:pPr>
        <w:tabs>
          <w:tab w:val="num" w:pos="0"/>
        </w:tabs>
        <w:ind w:left="2520" w:hanging="360"/>
      </w:pPr>
      <w:rPr>
        <w:vertAlign w:val="baseline"/>
        <w:position w:val="0"/>
        <w:sz w:val="24"/>
        <w:sz w:val="24"/>
      </w:rPr>
    </w:lvl>
    <w:lvl w:ilvl="6">
      <w:start w:val="1"/>
      <w:numFmt w:val="decimal"/>
      <w:lvlText w:val="%7."/>
      <w:lvlJc w:val="left"/>
      <w:pPr>
        <w:tabs>
          <w:tab w:val="num" w:pos="0"/>
        </w:tabs>
        <w:ind w:left="2880" w:hanging="360"/>
      </w:pPr>
      <w:rPr>
        <w:vertAlign w:val="baseline"/>
        <w:position w:val="0"/>
        <w:sz w:val="24"/>
        <w:sz w:val="24"/>
      </w:rPr>
    </w:lvl>
    <w:lvl w:ilvl="7">
      <w:start w:val="1"/>
      <w:numFmt w:val="decimal"/>
      <w:lvlText w:val="%8."/>
      <w:lvlJc w:val="left"/>
      <w:pPr>
        <w:tabs>
          <w:tab w:val="num" w:pos="0"/>
        </w:tabs>
        <w:ind w:left="3240" w:hanging="360"/>
      </w:pPr>
      <w:rPr>
        <w:vertAlign w:val="baseline"/>
        <w:position w:val="0"/>
        <w:sz w:val="24"/>
        <w:sz w:val="24"/>
      </w:rPr>
    </w:lvl>
    <w:lvl w:ilvl="8">
      <w:start w:val="1"/>
      <w:numFmt w:val="decimal"/>
      <w:lvlText w:val="%9."/>
      <w:lvlJc w:val="left"/>
      <w:pPr>
        <w:tabs>
          <w:tab w:val="num" w:pos="0"/>
        </w:tabs>
        <w:ind w:left="3600" w:hanging="360"/>
      </w:pPr>
      <w:rPr>
        <w:vertAlign w:val="baseline"/>
        <w:position w:val="0"/>
        <w:sz w:val="24"/>
        <w:sz w:val="24"/>
      </w:rPr>
    </w:lvl>
  </w:abstractNum>
  <w:abstractNum w:abstractNumId="10">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792" w:hanging="432"/>
      </w:pPr>
      <w:rPr>
        <w:vertAlign w:val="baseline"/>
        <w:position w:val="0"/>
        <w:sz w:val="24"/>
        <w:sz w:val="24"/>
      </w:rPr>
    </w:lvl>
    <w:lvl w:ilvl="2">
      <w:start w:val="1"/>
      <w:numFmt w:val="decimal"/>
      <w:lvlText w:val="%1.%2.%3"/>
      <w:lvlJc w:val="left"/>
      <w:pPr>
        <w:tabs>
          <w:tab w:val="num" w:pos="0"/>
        </w:tabs>
        <w:ind w:left="1224" w:hanging="504"/>
      </w:pPr>
      <w:rPr>
        <w:vertAlign w:val="baseline"/>
        <w:position w:val="0"/>
        <w:sz w:val="24"/>
        <w:sz w:val="24"/>
      </w:rPr>
    </w:lvl>
    <w:lvl w:ilvl="3">
      <w:start w:val="1"/>
      <w:numFmt w:val="decimal"/>
      <w:lvlText w:val="%1.%2.%3.%4"/>
      <w:lvlJc w:val="left"/>
      <w:pPr>
        <w:tabs>
          <w:tab w:val="num" w:pos="0"/>
        </w:tabs>
        <w:ind w:left="1728" w:hanging="647"/>
      </w:pPr>
      <w:rPr>
        <w:vertAlign w:val="baseline"/>
        <w:position w:val="0"/>
        <w:sz w:val="24"/>
        <w:sz w:val="24"/>
      </w:rPr>
    </w:lvl>
    <w:lvl w:ilvl="4">
      <w:start w:val="1"/>
      <w:numFmt w:val="decimal"/>
      <w:lvlText w:val="%1.%2.%3.%4.%5."/>
      <w:lvlJc w:val="left"/>
      <w:pPr>
        <w:tabs>
          <w:tab w:val="num" w:pos="0"/>
        </w:tabs>
        <w:ind w:left="2232" w:hanging="792"/>
      </w:pPr>
      <w:rPr>
        <w:vertAlign w:val="baseline"/>
        <w:position w:val="0"/>
        <w:sz w:val="24"/>
        <w:sz w:val="24"/>
      </w:rPr>
    </w:lvl>
    <w:lvl w:ilvl="5">
      <w:start w:val="1"/>
      <w:numFmt w:val="decimal"/>
      <w:lvlText w:val="%1.%2.%3.%4.%5.%6."/>
      <w:lvlJc w:val="left"/>
      <w:pPr>
        <w:tabs>
          <w:tab w:val="num" w:pos="0"/>
        </w:tabs>
        <w:ind w:left="2736" w:hanging="935"/>
      </w:pPr>
      <w:rPr>
        <w:vertAlign w:val="baseline"/>
        <w:position w:val="0"/>
        <w:sz w:val="24"/>
        <w:sz w:val="24"/>
      </w:rPr>
    </w:lvl>
    <w:lvl w:ilvl="6">
      <w:start w:val="1"/>
      <w:numFmt w:val="decimal"/>
      <w:lvlText w:val="%1.%2.%3.%4.%5.%6.%7."/>
      <w:lvlJc w:val="left"/>
      <w:pPr>
        <w:tabs>
          <w:tab w:val="num" w:pos="0"/>
        </w:tabs>
        <w:ind w:left="3240" w:hanging="1080"/>
      </w:pPr>
      <w:rPr>
        <w:vertAlign w:val="baseline"/>
        <w:position w:val="0"/>
        <w:sz w:val="24"/>
        <w:sz w:val="24"/>
      </w:rPr>
    </w:lvl>
    <w:lvl w:ilvl="7">
      <w:start w:val="1"/>
      <w:numFmt w:val="decimal"/>
      <w:lvlText w:val="%1.%2.%3.%4.%5.%6.%7.%8."/>
      <w:lvlJc w:val="left"/>
      <w:pPr>
        <w:tabs>
          <w:tab w:val="num" w:pos="0"/>
        </w:tabs>
        <w:ind w:left="3744" w:hanging="1224"/>
      </w:pPr>
      <w:rPr>
        <w:vertAlign w:val="baseline"/>
        <w:position w:val="0"/>
        <w:sz w:val="24"/>
        <w:sz w:val="24"/>
      </w:rPr>
    </w:lvl>
    <w:lvl w:ilvl="8">
      <w:start w:val="1"/>
      <w:numFmt w:val="decimal"/>
      <w:lvlText w:val="%1.%2.%3.%4.%5.%6.%7.%8.%9."/>
      <w:lvlJc w:val="left"/>
      <w:pPr>
        <w:tabs>
          <w:tab w:val="num" w:pos="0"/>
        </w:tabs>
        <w:ind w:left="4320" w:hanging="1440"/>
      </w:pPr>
      <w:rPr>
        <w:vertAlign w:val="baseline"/>
        <w:position w:val="0"/>
        <w:sz w:val="24"/>
        <w:sz w:val="24"/>
      </w:rPr>
    </w:lvl>
  </w:abstractNum>
  <w:abstractNum w:abstractNumId="11">
    <w:lvl w:ilvl="0">
      <w:start w:val="2"/>
      <w:numFmt w:val="decimal"/>
      <w:lvlText w:val="%1"/>
      <w:lvlJc w:val="left"/>
      <w:pPr>
        <w:tabs>
          <w:tab w:val="num" w:pos="0"/>
        </w:tabs>
        <w:ind w:left="360" w:hanging="360"/>
      </w:pPr>
      <w:rPr>
        <w:vertAlign w:val="baseline"/>
        <w:position w:val="0"/>
        <w:sz w:val="24"/>
        <w:sz w:val="24"/>
      </w:rPr>
    </w:lvl>
    <w:lvl w:ilvl="1">
      <w:start w:val="7"/>
      <w:numFmt w:val="decimal"/>
      <w:lvlText w:val="%1.%2"/>
      <w:lvlJc w:val="left"/>
      <w:pPr>
        <w:tabs>
          <w:tab w:val="num" w:pos="0"/>
        </w:tabs>
        <w:ind w:left="792" w:hanging="432"/>
      </w:pPr>
      <w:rPr>
        <w:vertAlign w:val="baseline"/>
        <w:position w:val="0"/>
        <w:sz w:val="24"/>
        <w:sz w:val="24"/>
      </w:rPr>
    </w:lvl>
    <w:lvl w:ilvl="2">
      <w:start w:val="1"/>
      <w:numFmt w:val="decimal"/>
      <w:lvlText w:val="%1.%2.%3"/>
      <w:lvlJc w:val="left"/>
      <w:pPr>
        <w:tabs>
          <w:tab w:val="num" w:pos="0"/>
        </w:tabs>
        <w:ind w:left="1224" w:hanging="504"/>
      </w:pPr>
      <w:rPr>
        <w:vertAlign w:val="baseline"/>
        <w:position w:val="0"/>
        <w:sz w:val="24"/>
        <w:sz w:val="24"/>
      </w:rPr>
    </w:lvl>
    <w:lvl w:ilvl="3">
      <w:start w:val="1"/>
      <w:numFmt w:val="decimal"/>
      <w:lvlText w:val="%1.%2.%3.%4"/>
      <w:lvlJc w:val="left"/>
      <w:pPr>
        <w:tabs>
          <w:tab w:val="num" w:pos="0"/>
        </w:tabs>
        <w:ind w:left="1728" w:hanging="647"/>
      </w:pPr>
      <w:rPr>
        <w:vertAlign w:val="baseline"/>
        <w:position w:val="0"/>
        <w:sz w:val="24"/>
        <w:sz w:val="24"/>
      </w:rPr>
    </w:lvl>
    <w:lvl w:ilvl="4">
      <w:start w:val="1"/>
      <w:numFmt w:val="decimal"/>
      <w:lvlText w:val="%1.%2.%3.%4.%5."/>
      <w:lvlJc w:val="left"/>
      <w:pPr>
        <w:tabs>
          <w:tab w:val="num" w:pos="0"/>
        </w:tabs>
        <w:ind w:left="2232" w:hanging="792"/>
      </w:pPr>
      <w:rPr>
        <w:vertAlign w:val="baseline"/>
        <w:position w:val="0"/>
        <w:sz w:val="24"/>
        <w:sz w:val="24"/>
      </w:rPr>
    </w:lvl>
    <w:lvl w:ilvl="5">
      <w:start w:val="1"/>
      <w:numFmt w:val="decimal"/>
      <w:lvlText w:val="%1.%2.%3.%4.%5.%6."/>
      <w:lvlJc w:val="left"/>
      <w:pPr>
        <w:tabs>
          <w:tab w:val="num" w:pos="0"/>
        </w:tabs>
        <w:ind w:left="2736" w:hanging="935"/>
      </w:pPr>
      <w:rPr>
        <w:vertAlign w:val="baseline"/>
        <w:position w:val="0"/>
        <w:sz w:val="24"/>
        <w:sz w:val="24"/>
      </w:rPr>
    </w:lvl>
    <w:lvl w:ilvl="6">
      <w:start w:val="1"/>
      <w:numFmt w:val="decimal"/>
      <w:lvlText w:val="%1.%2.%3.%4.%5.%6.%7."/>
      <w:lvlJc w:val="left"/>
      <w:pPr>
        <w:tabs>
          <w:tab w:val="num" w:pos="0"/>
        </w:tabs>
        <w:ind w:left="3240" w:hanging="1080"/>
      </w:pPr>
      <w:rPr>
        <w:vertAlign w:val="baseline"/>
        <w:position w:val="0"/>
        <w:sz w:val="24"/>
        <w:sz w:val="24"/>
      </w:rPr>
    </w:lvl>
    <w:lvl w:ilvl="7">
      <w:start w:val="1"/>
      <w:numFmt w:val="decimal"/>
      <w:lvlText w:val="%1.%2.%3.%4.%5.%6.%7.%8."/>
      <w:lvlJc w:val="left"/>
      <w:pPr>
        <w:tabs>
          <w:tab w:val="num" w:pos="0"/>
        </w:tabs>
        <w:ind w:left="3744" w:hanging="1224"/>
      </w:pPr>
      <w:rPr>
        <w:vertAlign w:val="baseline"/>
        <w:position w:val="0"/>
        <w:sz w:val="24"/>
        <w:sz w:val="24"/>
      </w:rPr>
    </w:lvl>
    <w:lvl w:ilvl="8">
      <w:start w:val="1"/>
      <w:numFmt w:val="decimal"/>
      <w:lvlText w:val="%1.%2.%3.%4.%5.%6.%7.%8.%9."/>
      <w:lvlJc w:val="left"/>
      <w:pPr>
        <w:tabs>
          <w:tab w:val="num" w:pos="0"/>
        </w:tabs>
        <w:ind w:left="4320" w:hanging="1440"/>
      </w:pPr>
      <w:rPr>
        <w:vertAlign w:val="baseline"/>
        <w:position w:val="0"/>
        <w:sz w:val="24"/>
        <w:sz w:val="24"/>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next w:val="Normal1"/>
    <w:qFormat/>
    <w:pPr>
      <w:widowControl/>
      <w:suppressAutoHyphens w:val="false"/>
      <w:overflowPunct w:val="true"/>
      <w:bidi w:val="0"/>
      <w:spacing w:lineRule="atLeast" w:line="1" w:before="0" w:after="0"/>
      <w:jc w:val="left"/>
      <w:textAlignment w:val="baseline"/>
      <w:outlineLvl w:val="0"/>
    </w:pPr>
    <w:rPr>
      <w:rFonts w:ascii="Liberation Serif" w:hAnsi="Liberation Serif" w:eastAsia="NSimSun" w:cs="Arial"/>
      <w:color w:val="auto"/>
      <w:w w:val="100"/>
      <w:kern w:val="2"/>
      <w:position w:val="-1"/>
      <w:sz w:val="24"/>
      <w:szCs w:val="24"/>
      <w:effect w:val="none"/>
      <w:em w:val="none"/>
      <w:lang w:val="pt-BR" w:eastAsia="zh-CN" w:bidi="hi-IN"/>
    </w:rPr>
  </w:style>
  <w:style w:type="paragraph" w:styleId="Heading1">
    <w:name w:val="Heading 1"/>
    <w:basedOn w:val="Normal1"/>
    <w:next w:val="Normal1"/>
    <w:qFormat/>
    <w:pPr>
      <w:keepNext w:val="true"/>
      <w:keepLines/>
      <w:widowControl/>
      <w:numPr>
        <w:ilvl w:val="0"/>
        <w:numId w:val="1"/>
      </w:numPr>
      <w:suppressAutoHyphens w:val="false"/>
      <w:overflowPunct w:val="true"/>
      <w:bidi w:val="0"/>
      <w:spacing w:lineRule="atLeast" w:line="1" w:before="480" w:after="0"/>
      <w:textAlignment w:val="baseline"/>
      <w:outlineLvl w:val="0"/>
    </w:pPr>
    <w:rPr>
      <w:rFonts w:ascii="Calibri" w:hAnsi="Calibri" w:eastAsia="MS Gothic" w:cs="Calibri"/>
      <w:b/>
      <w:bCs/>
      <w:color w:val="365F91"/>
      <w:w w:val="100"/>
      <w:kern w:val="2"/>
      <w:position w:val="-1"/>
      <w:sz w:val="28"/>
      <w:szCs w:val="28"/>
      <w:effect w:val="none"/>
      <w:em w:val="none"/>
      <w:lang w:val="pt-BR" w:eastAsia="zh-CN" w:bidi="hi-IN"/>
    </w:rPr>
  </w:style>
  <w:style w:type="paragraph" w:styleId="Heading2">
    <w:name w:val="Heading 2"/>
    <w:basedOn w:val="Nivel01"/>
    <w:next w:val="Titre"/>
    <w:qFormat/>
    <w:pPr>
      <w:keepNext w:val="true"/>
      <w:keepLines/>
      <w:widowControl/>
      <w:numPr>
        <w:ilvl w:val="1"/>
        <w:numId w:val="1"/>
      </w:numPr>
      <w:suppressAutoHyphens w:val="false"/>
      <w:overflowPunct w:val="true"/>
      <w:bidi w:val="0"/>
      <w:spacing w:lineRule="atLeast" w:line="1" w:before="240" w:after="0"/>
      <w:ind w:hanging="0" w:left="0" w:right="0"/>
      <w:jc w:val="both"/>
      <w:textAlignment w:val="baseline"/>
      <w:outlineLvl w:val="1"/>
    </w:pPr>
    <w:rPr>
      <w:rFonts w:ascii="Ecofont_Spranq_eco_Sans" w:hAnsi="Ecofont_Spranq_eco_Sans" w:eastAsia="Ecofont_Spranq_eco_Sans" w:cs="Times New Roman"/>
      <w:b/>
      <w:bCs/>
      <w:i/>
      <w:iCs/>
      <w:color w:val="000000"/>
      <w:w w:val="100"/>
      <w:kern w:val="2"/>
      <w:position w:val="-1"/>
      <w:sz w:val="20"/>
      <w:szCs w:val="20"/>
      <w:effect w:val="none"/>
      <w:em w:val="none"/>
      <w:lang w:val="pt-BR" w:eastAsia="zh-CN" w:bidi="hi-IN"/>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8">
    <w:name w:val="Heading 8"/>
    <w:basedOn w:val="Normal1"/>
    <w:next w:val="Normal1"/>
    <w:qFormat/>
    <w:pPr>
      <w:keepNext w:val="true"/>
      <w:widowControl/>
      <w:numPr>
        <w:ilvl w:val="7"/>
        <w:numId w:val="1"/>
      </w:numPr>
      <w:suppressAutoHyphens w:val="false"/>
      <w:overflowPunct w:val="true"/>
      <w:bidi w:val="0"/>
      <w:spacing w:lineRule="auto" w:line="360" w:before="57" w:after="57"/>
      <w:ind w:hanging="0" w:left="-57" w:right="-57"/>
      <w:jc w:val="center"/>
      <w:textAlignment w:val="baseline"/>
      <w:outlineLvl w:val="7"/>
    </w:pPr>
    <w:rPr>
      <w:rFonts w:ascii="Tahoma" w:hAnsi="Tahoma" w:eastAsia="Tahoma" w:cs="Tahoma"/>
      <w:b/>
      <w:bCs/>
      <w:w w:val="100"/>
      <w:kern w:val="2"/>
      <w:position w:val="-1"/>
      <w:sz w:val="24"/>
      <w:szCs w:val="24"/>
      <w:effect w:val="none"/>
      <w:em w:val="none"/>
      <w:lang w:val="pt-BR" w:eastAsia="zh-CN" w:bidi="hi-IN"/>
    </w:rPr>
  </w:style>
  <w:style w:type="character" w:styleId="WW8Num2z0">
    <w:name w:val="WW8Num2z0"/>
    <w:qFormat/>
    <w:rPr>
      <w:rFonts w:ascii="Symbol" w:hAnsi="Symbol" w:cs="OpenSymbol"/>
      <w:color w:val="000000"/>
      <w:w w:val="100"/>
      <w:position w:val="0"/>
      <w:sz w:val="20"/>
      <w:sz w:val="20"/>
      <w:szCs w:val="20"/>
      <w:effect w:val="none"/>
      <w:vertAlign w:val="baseline"/>
      <w:em w:val="none"/>
    </w:rPr>
  </w:style>
  <w:style w:type="character" w:styleId="WW8Num3z0">
    <w:name w:val="WW8Num3z0"/>
    <w:qFormat/>
    <w:rPr>
      <w:rFonts w:ascii="Symbol" w:hAnsi="Symbol" w:cs="OpenSymbol"/>
      <w:w w:val="100"/>
      <w:position w:val="0"/>
      <w:sz w:val="20"/>
      <w:sz w:val="20"/>
      <w:szCs w:val="20"/>
      <w:effect w:val="none"/>
      <w:vertAlign w:val="baseline"/>
      <w:em w:val="none"/>
    </w:rPr>
  </w:style>
  <w:style w:type="character" w:styleId="WW8Num3z1">
    <w:name w:val="WW8Num3z1"/>
    <w:qFormat/>
    <w:rPr>
      <w:rFonts w:ascii="Arial" w:hAnsi="Arial" w:cs="Arial"/>
      <w:b/>
      <w:bCs/>
      <w:w w:val="100"/>
      <w:position w:val="0"/>
      <w:sz w:val="20"/>
      <w:sz w:val="20"/>
      <w:szCs w:val="20"/>
      <w:effect w:val="none"/>
      <w:vertAlign w:val="baseline"/>
      <w:em w:val="none"/>
    </w:rPr>
  </w:style>
  <w:style w:type="character" w:styleId="WW8Num3z2">
    <w:name w:val="WW8Num3z2"/>
    <w:qFormat/>
    <w:rPr>
      <w:rFonts w:ascii="Arial" w:hAnsi="Arial" w:cs="Arial"/>
      <w:w w:val="100"/>
      <w:position w:val="0"/>
      <w:sz w:val="20"/>
      <w:sz w:val="20"/>
      <w:szCs w:val="20"/>
      <w:effect w:val="none"/>
      <w:vertAlign w:val="baseline"/>
      <w:em w:val="none"/>
    </w:rPr>
  </w:style>
  <w:style w:type="character" w:styleId="WW8Num4z0">
    <w:name w:val="WW8Num4z0"/>
    <w:qFormat/>
    <w:rPr>
      <w:rFonts w:ascii="Arial" w:hAnsi="Arial" w:cs="Arial"/>
      <w:b/>
      <w:w w:val="100"/>
      <w:position w:val="0"/>
      <w:sz w:val="20"/>
      <w:sz w:val="20"/>
      <w:szCs w:val="20"/>
      <w:effect w:val="none"/>
      <w:vertAlign w:val="baseline"/>
      <w:em w:val="none"/>
    </w:rPr>
  </w:style>
  <w:style w:type="character" w:styleId="WW8Num7z0">
    <w:name w:val="WW8Num7z0"/>
    <w:qFormat/>
    <w:rPr>
      <w:rFonts w:ascii="Symbol" w:hAnsi="Symbol" w:cs="Symbol"/>
      <w:w w:val="100"/>
      <w:position w:val="0"/>
      <w:sz w:val="24"/>
      <w:sz w:val="24"/>
      <w:effect w:val="none"/>
      <w:vertAlign w:val="baseline"/>
      <w:em w:val="none"/>
    </w:rPr>
  </w:style>
  <w:style w:type="character" w:styleId="WW8Num7z1">
    <w:name w:val="WW8Num7z1"/>
    <w:qFormat/>
    <w:rPr>
      <w:rFonts w:ascii="Courier New" w:hAnsi="Courier New" w:cs="Courier New"/>
      <w:w w:val="100"/>
      <w:position w:val="0"/>
      <w:sz w:val="24"/>
      <w:sz w:val="24"/>
      <w:effect w:val="none"/>
      <w:vertAlign w:val="baseline"/>
      <w:em w:val="none"/>
    </w:rPr>
  </w:style>
  <w:style w:type="character" w:styleId="WW8Num7z2">
    <w:name w:val="WW8Num7z2"/>
    <w:qFormat/>
    <w:rPr>
      <w:rFonts w:ascii="Wingdings" w:hAnsi="Wingdings" w:cs="Wingdings"/>
      <w:w w:val="100"/>
      <w:position w:val="0"/>
      <w:sz w:val="24"/>
      <w:sz w:val="24"/>
      <w:effect w:val="none"/>
      <w:vertAlign w:val="baseline"/>
      <w:em w:val="none"/>
    </w:rPr>
  </w:style>
  <w:style w:type="character" w:styleId="WW8Num8z0">
    <w:name w:val="WW8Num8z0"/>
    <w:qFormat/>
    <w:rPr>
      <w:rFonts w:ascii="Tahoma" w:hAnsi="Tahoma" w:cs="Tahoma"/>
      <w:b/>
      <w:i w:val="false"/>
      <w:w w:val="100"/>
      <w:position w:val="0"/>
      <w:sz w:val="24"/>
      <w:sz w:val="24"/>
      <w:effect w:val="none"/>
      <w:vertAlign w:val="baseline"/>
      <w:em w:val="none"/>
    </w:rPr>
  </w:style>
  <w:style w:type="character" w:styleId="WW8Num10z0">
    <w:name w:val="WW8Num10z0"/>
    <w:qFormat/>
    <w:rPr>
      <w:rFonts w:ascii="Tahoma" w:hAnsi="Tahoma" w:cs="Tahoma"/>
      <w:b/>
      <w:i w:val="false"/>
      <w:w w:val="100"/>
      <w:position w:val="0"/>
      <w:sz w:val="24"/>
      <w:sz w:val="24"/>
      <w:effect w:val="none"/>
      <w:vertAlign w:val="baseline"/>
      <w:em w:val="none"/>
    </w:rPr>
  </w:style>
  <w:style w:type="character" w:styleId="WW8Num10z1">
    <w:name w:val="WW8Num10z1"/>
    <w:qFormat/>
    <w:rPr>
      <w:rFonts w:ascii="Arial" w:hAnsi="Arial" w:cs="Arial"/>
      <w:b/>
      <w:bCs/>
      <w:w w:val="100"/>
      <w:position w:val="0"/>
      <w:sz w:val="20"/>
      <w:sz w:val="20"/>
      <w:szCs w:val="20"/>
      <w:effect w:val="none"/>
      <w:vertAlign w:val="baseline"/>
      <w:em w:val="none"/>
    </w:rPr>
  </w:style>
  <w:style w:type="character" w:styleId="WW8Num11z0">
    <w:name w:val="WW8Num11z0"/>
    <w:qFormat/>
    <w:rPr>
      <w:rFonts w:ascii="Arial" w:hAnsi="Arial" w:cs="Arial"/>
      <w:color w:val="000000"/>
      <w:w w:val="100"/>
      <w:position w:val="0"/>
      <w:sz w:val="20"/>
      <w:sz w:val="20"/>
      <w:szCs w:val="20"/>
      <w:effect w:val="none"/>
      <w:vertAlign w:val="baseline"/>
      <w:em w:val="none"/>
    </w:rPr>
  </w:style>
  <w:style w:type="character" w:styleId="WW8Num14z0">
    <w:name w:val="WW8Num14z0"/>
    <w:qFormat/>
    <w:rPr>
      <w:rFonts w:ascii="Arial" w:hAnsi="Arial" w:cs="Arial"/>
      <w:w w:val="100"/>
      <w:position w:val="0"/>
      <w:sz w:val="20"/>
      <w:sz w:val="20"/>
      <w:szCs w:val="20"/>
      <w:effect w:val="none"/>
      <w:vertAlign w:val="baseline"/>
      <w:em w:val="none"/>
    </w:rPr>
  </w:style>
  <w:style w:type="character" w:styleId="WW8Num15z0">
    <w:name w:val="WW8Num15z0"/>
    <w:qFormat/>
    <w:rPr>
      <w:rFonts w:ascii="Arial" w:hAnsi="Arial" w:cs="Arial"/>
      <w:b/>
      <w:bCs/>
      <w:w w:val="100"/>
      <w:position w:val="0"/>
      <w:sz w:val="20"/>
      <w:sz w:val="20"/>
      <w:szCs w:val="20"/>
      <w:effect w:val="none"/>
      <w:vertAlign w:val="baseline"/>
      <w:em w:val="none"/>
    </w:rPr>
  </w:style>
  <w:style w:type="character" w:styleId="WW8Num16z0">
    <w:name w:val="WW8Num16z0"/>
    <w:qFormat/>
    <w:rPr>
      <w:rFonts w:ascii="Arial" w:hAnsi="Arial" w:cs="Arial"/>
      <w:b/>
      <w:bCs/>
      <w:w w:val="100"/>
      <w:position w:val="0"/>
      <w:sz w:val="20"/>
      <w:sz w:val="20"/>
      <w:szCs w:val="20"/>
      <w:effect w:val="none"/>
      <w:vertAlign w:val="baseline"/>
      <w:em w:val="none"/>
    </w:rPr>
  </w:style>
  <w:style w:type="character" w:styleId="WW8Num16z1">
    <w:name w:val="WW8Num16z1"/>
    <w:qFormat/>
    <w:rPr>
      <w:rFonts w:ascii="Arial" w:hAnsi="Arial" w:cs="Arial"/>
      <w:w w:val="100"/>
      <w:position w:val="0"/>
      <w:sz w:val="20"/>
      <w:sz w:val="20"/>
      <w:szCs w:val="20"/>
      <w:effect w:val="none"/>
      <w:vertAlign w:val="baseline"/>
      <w:em w:val="none"/>
    </w:rPr>
  </w:style>
  <w:style w:type="character" w:styleId="WW8Num17z0">
    <w:name w:val="WW8Num17z0"/>
    <w:qFormat/>
    <w:rPr>
      <w:rFonts w:ascii="Arial" w:hAnsi="Arial" w:cs="Symbol"/>
      <w:w w:val="100"/>
      <w:position w:val="0"/>
      <w:sz w:val="20"/>
      <w:sz w:val="20"/>
      <w:effect w:val="none"/>
      <w:vertAlign w:val="baseline"/>
      <w:em w:val="none"/>
    </w:rPr>
  </w:style>
  <w:style w:type="character" w:styleId="WW8Num17z1">
    <w:name w:val="WW8Num17z1"/>
    <w:qFormat/>
    <w:rPr>
      <w:rFonts w:ascii="Courier New" w:hAnsi="Courier New" w:cs="Courier New"/>
      <w:w w:val="100"/>
      <w:position w:val="0"/>
      <w:sz w:val="20"/>
      <w:sz w:val="20"/>
      <w:effect w:val="none"/>
      <w:vertAlign w:val="baseline"/>
      <w:em w:val="none"/>
    </w:rPr>
  </w:style>
  <w:style w:type="character" w:styleId="WW8Num17z2">
    <w:name w:val="WW8Num17z2"/>
    <w:qFormat/>
    <w:rPr>
      <w:rFonts w:ascii="Wingdings" w:hAnsi="Wingdings" w:cs="Wingdings"/>
      <w:w w:val="100"/>
      <w:position w:val="0"/>
      <w:sz w:val="20"/>
      <w:sz w:val="20"/>
      <w:effect w:val="none"/>
      <w:vertAlign w:val="baseline"/>
      <w:em w:val="none"/>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WW8Num3z3">
    <w:name w:val="WW8Num3z3"/>
    <w:qFormat/>
    <w:rPr>
      <w:w w:val="100"/>
      <w:position w:val="0"/>
      <w:sz w:val="24"/>
      <w:sz w:val="24"/>
      <w:effect w:val="none"/>
      <w:vertAlign w:val="baseline"/>
      <w:em w:val="none"/>
    </w:rPr>
  </w:style>
  <w:style w:type="character" w:styleId="WW8Num3z4">
    <w:name w:val="WW8Num3z4"/>
    <w:qFormat/>
    <w:rPr>
      <w:w w:val="100"/>
      <w:position w:val="0"/>
      <w:sz w:val="24"/>
      <w:sz w:val="24"/>
      <w:effect w:val="none"/>
      <w:vertAlign w:val="baseline"/>
      <w:em w:val="none"/>
    </w:rPr>
  </w:style>
  <w:style w:type="character" w:styleId="WW8Num3z5">
    <w:name w:val="WW8Num3z5"/>
    <w:qFormat/>
    <w:rPr>
      <w:w w:val="100"/>
      <w:position w:val="0"/>
      <w:sz w:val="24"/>
      <w:sz w:val="24"/>
      <w:effect w:val="none"/>
      <w:vertAlign w:val="baseline"/>
      <w:em w:val="none"/>
    </w:rPr>
  </w:style>
  <w:style w:type="character" w:styleId="WW8Num3z6">
    <w:name w:val="WW8Num3z6"/>
    <w:qFormat/>
    <w:rPr>
      <w:w w:val="100"/>
      <w:position w:val="0"/>
      <w:sz w:val="24"/>
      <w:sz w:val="24"/>
      <w:effect w:val="none"/>
      <w:vertAlign w:val="baseline"/>
      <w:em w:val="none"/>
    </w:rPr>
  </w:style>
  <w:style w:type="character" w:styleId="WW8Num3z7">
    <w:name w:val="WW8Num3z7"/>
    <w:qFormat/>
    <w:rPr>
      <w:w w:val="100"/>
      <w:position w:val="0"/>
      <w:sz w:val="24"/>
      <w:sz w:val="24"/>
      <w:effect w:val="none"/>
      <w:vertAlign w:val="baseline"/>
      <w:em w:val="none"/>
    </w:rPr>
  </w:style>
  <w:style w:type="character" w:styleId="WW8Num3z8">
    <w:name w:val="WW8Num3z8"/>
    <w:qFormat/>
    <w:rPr>
      <w:w w:val="100"/>
      <w:position w:val="0"/>
      <w:sz w:val="24"/>
      <w:sz w:val="24"/>
      <w:effect w:val="none"/>
      <w:vertAlign w:val="baseline"/>
      <w:em w:val="none"/>
    </w:rPr>
  </w:style>
  <w:style w:type="character" w:styleId="WW8Num4z1">
    <w:name w:val="WW8Num4z1"/>
    <w:qFormat/>
    <w:rPr>
      <w:w w:val="100"/>
      <w:position w:val="0"/>
      <w:sz w:val="24"/>
      <w:sz w:val="24"/>
      <w:effect w:val="none"/>
      <w:vertAlign w:val="baseline"/>
      <w:em w:val="none"/>
    </w:rPr>
  </w:style>
  <w:style w:type="character" w:styleId="WW8Num4z2">
    <w:name w:val="WW8Num4z2"/>
    <w:qFormat/>
    <w:rPr>
      <w:w w:val="100"/>
      <w:position w:val="0"/>
      <w:sz w:val="24"/>
      <w:sz w:val="24"/>
      <w:effect w:val="none"/>
      <w:vertAlign w:val="baseline"/>
      <w:em w:val="none"/>
    </w:rPr>
  </w:style>
  <w:style w:type="character" w:styleId="WW8Num4z3">
    <w:name w:val="WW8Num4z3"/>
    <w:qFormat/>
    <w:rPr>
      <w:w w:val="100"/>
      <w:position w:val="0"/>
      <w:sz w:val="24"/>
      <w:sz w:val="24"/>
      <w:effect w:val="none"/>
      <w:vertAlign w:val="baseline"/>
      <w:em w:val="none"/>
    </w:rPr>
  </w:style>
  <w:style w:type="character" w:styleId="WW8Num4z4">
    <w:name w:val="WW8Num4z4"/>
    <w:qFormat/>
    <w:rPr>
      <w:w w:val="100"/>
      <w:position w:val="0"/>
      <w:sz w:val="24"/>
      <w:sz w:val="24"/>
      <w:effect w:val="none"/>
      <w:vertAlign w:val="baseline"/>
      <w:em w:val="none"/>
    </w:rPr>
  </w:style>
  <w:style w:type="character" w:styleId="WW8Num4z5">
    <w:name w:val="WW8Num4z5"/>
    <w:qFormat/>
    <w:rPr>
      <w:w w:val="100"/>
      <w:position w:val="0"/>
      <w:sz w:val="24"/>
      <w:sz w:val="24"/>
      <w:effect w:val="none"/>
      <w:vertAlign w:val="baseline"/>
      <w:em w:val="none"/>
    </w:rPr>
  </w:style>
  <w:style w:type="character" w:styleId="WW8Num4z6">
    <w:name w:val="WW8Num4z6"/>
    <w:qFormat/>
    <w:rPr>
      <w:w w:val="100"/>
      <w:position w:val="0"/>
      <w:sz w:val="24"/>
      <w:sz w:val="24"/>
      <w:effect w:val="none"/>
      <w:vertAlign w:val="baseline"/>
      <w:em w:val="none"/>
    </w:rPr>
  </w:style>
  <w:style w:type="character" w:styleId="WW8Num4z7">
    <w:name w:val="WW8Num4z7"/>
    <w:qFormat/>
    <w:rPr>
      <w:w w:val="100"/>
      <w:position w:val="0"/>
      <w:sz w:val="24"/>
      <w:sz w:val="24"/>
      <w:effect w:val="none"/>
      <w:vertAlign w:val="baseline"/>
      <w:em w:val="none"/>
    </w:rPr>
  </w:style>
  <w:style w:type="character" w:styleId="WW8Num4z8">
    <w:name w:val="WW8Num4z8"/>
    <w:qFormat/>
    <w:rPr>
      <w:w w:val="100"/>
      <w:position w:val="0"/>
      <w:sz w:val="24"/>
      <w:sz w:val="24"/>
      <w:effect w:val="none"/>
      <w:vertAlign w:val="baseline"/>
      <w:em w:val="none"/>
    </w:rPr>
  </w:style>
  <w:style w:type="character" w:styleId="WW8Num5z0">
    <w:name w:val="WW8Num5z0"/>
    <w:qFormat/>
    <w:rPr>
      <w:w w:val="100"/>
      <w:position w:val="0"/>
      <w:sz w:val="24"/>
      <w:sz w:val="24"/>
      <w:effect w:val="none"/>
      <w:vertAlign w:val="baseline"/>
      <w:em w:val="none"/>
    </w:rPr>
  </w:style>
  <w:style w:type="character" w:styleId="WW8Num5z1">
    <w:name w:val="WW8Num5z1"/>
    <w:qFormat/>
    <w:rPr>
      <w:w w:val="100"/>
      <w:position w:val="0"/>
      <w:sz w:val="24"/>
      <w:sz w:val="24"/>
      <w:effect w:val="none"/>
      <w:vertAlign w:val="baseline"/>
      <w:em w:val="none"/>
    </w:rPr>
  </w:style>
  <w:style w:type="character" w:styleId="WW8Num5z2">
    <w:name w:val="WW8Num5z2"/>
    <w:qFormat/>
    <w:rPr>
      <w:w w:val="100"/>
      <w:position w:val="0"/>
      <w:sz w:val="24"/>
      <w:sz w:val="24"/>
      <w:effect w:val="none"/>
      <w:vertAlign w:val="baseline"/>
      <w:em w:val="none"/>
    </w:rPr>
  </w:style>
  <w:style w:type="character" w:styleId="WW8Num5z3">
    <w:name w:val="WW8Num5z3"/>
    <w:qFormat/>
    <w:rPr>
      <w:w w:val="100"/>
      <w:position w:val="0"/>
      <w:sz w:val="24"/>
      <w:sz w:val="24"/>
      <w:effect w:val="none"/>
      <w:vertAlign w:val="baseline"/>
      <w:em w:val="none"/>
    </w:rPr>
  </w:style>
  <w:style w:type="character" w:styleId="WW8Num5z4">
    <w:name w:val="WW8Num5z4"/>
    <w:qFormat/>
    <w:rPr>
      <w:w w:val="100"/>
      <w:position w:val="0"/>
      <w:sz w:val="24"/>
      <w:sz w:val="24"/>
      <w:effect w:val="none"/>
      <w:vertAlign w:val="baseline"/>
      <w:em w:val="none"/>
    </w:rPr>
  </w:style>
  <w:style w:type="character" w:styleId="WW8Num5z5">
    <w:name w:val="WW8Num5z5"/>
    <w:qFormat/>
    <w:rPr>
      <w:w w:val="100"/>
      <w:position w:val="0"/>
      <w:sz w:val="24"/>
      <w:sz w:val="24"/>
      <w:effect w:val="none"/>
      <w:vertAlign w:val="baseline"/>
      <w:em w:val="none"/>
    </w:rPr>
  </w:style>
  <w:style w:type="character" w:styleId="WW8Num5z6">
    <w:name w:val="WW8Num5z6"/>
    <w:qFormat/>
    <w:rPr>
      <w:w w:val="100"/>
      <w:position w:val="0"/>
      <w:sz w:val="24"/>
      <w:sz w:val="24"/>
      <w:effect w:val="none"/>
      <w:vertAlign w:val="baseline"/>
      <w:em w:val="none"/>
    </w:rPr>
  </w:style>
  <w:style w:type="character" w:styleId="WW8Num5z7">
    <w:name w:val="WW8Num5z7"/>
    <w:qFormat/>
    <w:rPr>
      <w:w w:val="100"/>
      <w:position w:val="0"/>
      <w:sz w:val="24"/>
      <w:sz w:val="24"/>
      <w:effect w:val="none"/>
      <w:vertAlign w:val="baseline"/>
      <w:em w:val="none"/>
    </w:rPr>
  </w:style>
  <w:style w:type="character" w:styleId="WW8Num5z8">
    <w:name w:val="WW8Num5z8"/>
    <w:qFormat/>
    <w:rPr>
      <w:w w:val="100"/>
      <w:position w:val="0"/>
      <w:sz w:val="24"/>
      <w:sz w:val="24"/>
      <w:effect w:val="none"/>
      <w:vertAlign w:val="baseline"/>
      <w:em w:val="none"/>
    </w:rPr>
  </w:style>
  <w:style w:type="character" w:styleId="WW8Num6z0">
    <w:name w:val="WW8Num6z0"/>
    <w:qFormat/>
    <w:rPr>
      <w:w w:val="100"/>
      <w:position w:val="0"/>
      <w:sz w:val="24"/>
      <w:sz w:val="24"/>
      <w:effect w:val="none"/>
      <w:vertAlign w:val="baseline"/>
      <w:em w:val="none"/>
    </w:rPr>
  </w:style>
  <w:style w:type="character" w:styleId="WW8Num6z1">
    <w:name w:val="WW8Num6z1"/>
    <w:qFormat/>
    <w:rPr>
      <w:w w:val="100"/>
      <w:position w:val="0"/>
      <w:sz w:val="24"/>
      <w:sz w:val="24"/>
      <w:effect w:val="none"/>
      <w:vertAlign w:val="baseline"/>
      <w:em w:val="none"/>
    </w:rPr>
  </w:style>
  <w:style w:type="character" w:styleId="WW8Num6z2">
    <w:name w:val="WW8Num6z2"/>
    <w:qFormat/>
    <w:rPr>
      <w:w w:val="100"/>
      <w:position w:val="0"/>
      <w:sz w:val="24"/>
      <w:sz w:val="24"/>
      <w:effect w:val="none"/>
      <w:vertAlign w:val="baseline"/>
      <w:em w:val="none"/>
    </w:rPr>
  </w:style>
  <w:style w:type="character" w:styleId="WW8Num6z3">
    <w:name w:val="WW8Num6z3"/>
    <w:qFormat/>
    <w:rPr>
      <w:w w:val="100"/>
      <w:position w:val="0"/>
      <w:sz w:val="24"/>
      <w:sz w:val="24"/>
      <w:effect w:val="none"/>
      <w:vertAlign w:val="baseline"/>
      <w:em w:val="none"/>
    </w:rPr>
  </w:style>
  <w:style w:type="character" w:styleId="WW8Num6z4">
    <w:name w:val="WW8Num6z4"/>
    <w:qFormat/>
    <w:rPr>
      <w:w w:val="100"/>
      <w:position w:val="0"/>
      <w:sz w:val="24"/>
      <w:sz w:val="24"/>
      <w:effect w:val="none"/>
      <w:vertAlign w:val="baseline"/>
      <w:em w:val="none"/>
    </w:rPr>
  </w:style>
  <w:style w:type="character" w:styleId="WW8Num6z5">
    <w:name w:val="WW8Num6z5"/>
    <w:qFormat/>
    <w:rPr>
      <w:w w:val="100"/>
      <w:position w:val="0"/>
      <w:sz w:val="24"/>
      <w:sz w:val="24"/>
      <w:effect w:val="none"/>
      <w:vertAlign w:val="baseline"/>
      <w:em w:val="none"/>
    </w:rPr>
  </w:style>
  <w:style w:type="character" w:styleId="WW8Num6z6">
    <w:name w:val="WW8Num6z6"/>
    <w:qFormat/>
    <w:rPr>
      <w:w w:val="100"/>
      <w:position w:val="0"/>
      <w:sz w:val="24"/>
      <w:sz w:val="24"/>
      <w:effect w:val="none"/>
      <w:vertAlign w:val="baseline"/>
      <w:em w:val="none"/>
    </w:rPr>
  </w:style>
  <w:style w:type="character" w:styleId="WW8Num6z7">
    <w:name w:val="WW8Num6z7"/>
    <w:qFormat/>
    <w:rPr>
      <w:w w:val="100"/>
      <w:position w:val="0"/>
      <w:sz w:val="24"/>
      <w:sz w:val="24"/>
      <w:effect w:val="none"/>
      <w:vertAlign w:val="baseline"/>
      <w:em w:val="none"/>
    </w:rPr>
  </w:style>
  <w:style w:type="character" w:styleId="WW8Num6z8">
    <w:name w:val="WW8Num6z8"/>
    <w:qFormat/>
    <w:rPr>
      <w:w w:val="100"/>
      <w:position w:val="0"/>
      <w:sz w:val="24"/>
      <w:sz w:val="24"/>
      <w:effect w:val="none"/>
      <w:vertAlign w:val="baseline"/>
      <w:em w:val="none"/>
    </w:rPr>
  </w:style>
  <w:style w:type="character" w:styleId="WW8Num7z3">
    <w:name w:val="WW8Num7z3"/>
    <w:qFormat/>
    <w:rPr>
      <w:w w:val="100"/>
      <w:position w:val="0"/>
      <w:sz w:val="24"/>
      <w:sz w:val="24"/>
      <w:effect w:val="none"/>
      <w:vertAlign w:val="baseline"/>
      <w:em w:val="none"/>
    </w:rPr>
  </w:style>
  <w:style w:type="character" w:styleId="WW8Num7z4">
    <w:name w:val="WW8Num7z4"/>
    <w:qFormat/>
    <w:rPr>
      <w:w w:val="100"/>
      <w:position w:val="0"/>
      <w:sz w:val="24"/>
      <w:sz w:val="24"/>
      <w:effect w:val="none"/>
      <w:vertAlign w:val="baseline"/>
      <w:em w:val="none"/>
    </w:rPr>
  </w:style>
  <w:style w:type="character" w:styleId="WW8Num7z5">
    <w:name w:val="WW8Num7z5"/>
    <w:qFormat/>
    <w:rPr>
      <w:w w:val="100"/>
      <w:position w:val="0"/>
      <w:sz w:val="24"/>
      <w:sz w:val="24"/>
      <w:effect w:val="none"/>
      <w:vertAlign w:val="baseline"/>
      <w:em w:val="none"/>
    </w:rPr>
  </w:style>
  <w:style w:type="character" w:styleId="WW8Num7z6">
    <w:name w:val="WW8Num7z6"/>
    <w:qFormat/>
    <w:rPr>
      <w:w w:val="100"/>
      <w:position w:val="0"/>
      <w:sz w:val="24"/>
      <w:sz w:val="24"/>
      <w:effect w:val="none"/>
      <w:vertAlign w:val="baseline"/>
      <w:em w:val="none"/>
    </w:rPr>
  </w:style>
  <w:style w:type="character" w:styleId="WW8Num7z7">
    <w:name w:val="WW8Num7z7"/>
    <w:qFormat/>
    <w:rPr>
      <w:w w:val="100"/>
      <w:position w:val="0"/>
      <w:sz w:val="24"/>
      <w:sz w:val="24"/>
      <w:effect w:val="none"/>
      <w:vertAlign w:val="baseline"/>
      <w:em w:val="none"/>
    </w:rPr>
  </w:style>
  <w:style w:type="character" w:styleId="WW8Num7z8">
    <w:name w:val="WW8Num7z8"/>
    <w:qFormat/>
    <w:rPr>
      <w:w w:val="100"/>
      <w:position w:val="0"/>
      <w:sz w:val="24"/>
      <w:sz w:val="24"/>
      <w:effect w:val="none"/>
      <w:vertAlign w:val="baseline"/>
      <w:em w:val="none"/>
    </w:rPr>
  </w:style>
  <w:style w:type="character" w:styleId="WW8Num8z1">
    <w:name w:val="WW8Num8z1"/>
    <w:qFormat/>
    <w:rPr>
      <w:w w:val="100"/>
      <w:position w:val="0"/>
      <w:sz w:val="24"/>
      <w:sz w:val="24"/>
      <w:effect w:val="none"/>
      <w:vertAlign w:val="baseline"/>
      <w:em w:val="none"/>
    </w:rPr>
  </w:style>
  <w:style w:type="character" w:styleId="WW8Num8z2">
    <w:name w:val="WW8Num8z2"/>
    <w:qFormat/>
    <w:rPr>
      <w:w w:val="100"/>
      <w:position w:val="0"/>
      <w:sz w:val="24"/>
      <w:sz w:val="24"/>
      <w:effect w:val="none"/>
      <w:vertAlign w:val="baseline"/>
      <w:em w:val="none"/>
    </w:rPr>
  </w:style>
  <w:style w:type="character" w:styleId="WW8Num8z3">
    <w:name w:val="WW8Num8z3"/>
    <w:qFormat/>
    <w:rPr>
      <w:w w:val="100"/>
      <w:position w:val="0"/>
      <w:sz w:val="24"/>
      <w:sz w:val="24"/>
      <w:effect w:val="none"/>
      <w:vertAlign w:val="baseline"/>
      <w:em w:val="none"/>
    </w:rPr>
  </w:style>
  <w:style w:type="character" w:styleId="WW8Num8z4">
    <w:name w:val="WW8Num8z4"/>
    <w:qFormat/>
    <w:rPr>
      <w:w w:val="100"/>
      <w:position w:val="0"/>
      <w:sz w:val="24"/>
      <w:sz w:val="24"/>
      <w:effect w:val="none"/>
      <w:vertAlign w:val="baseline"/>
      <w:em w:val="none"/>
    </w:rPr>
  </w:style>
  <w:style w:type="character" w:styleId="WW8Num8z5">
    <w:name w:val="WW8Num8z5"/>
    <w:qFormat/>
    <w:rPr>
      <w:w w:val="100"/>
      <w:position w:val="0"/>
      <w:sz w:val="24"/>
      <w:sz w:val="24"/>
      <w:effect w:val="none"/>
      <w:vertAlign w:val="baseline"/>
      <w:em w:val="none"/>
    </w:rPr>
  </w:style>
  <w:style w:type="character" w:styleId="WW8Num8z6">
    <w:name w:val="WW8Num8z6"/>
    <w:qFormat/>
    <w:rPr>
      <w:w w:val="100"/>
      <w:position w:val="0"/>
      <w:sz w:val="24"/>
      <w:sz w:val="24"/>
      <w:effect w:val="none"/>
      <w:vertAlign w:val="baseline"/>
      <w:em w:val="none"/>
    </w:rPr>
  </w:style>
  <w:style w:type="character" w:styleId="WW8Num8z7">
    <w:name w:val="WW8Num8z7"/>
    <w:qFormat/>
    <w:rPr>
      <w:w w:val="100"/>
      <w:position w:val="0"/>
      <w:sz w:val="24"/>
      <w:sz w:val="24"/>
      <w:effect w:val="none"/>
      <w:vertAlign w:val="baseline"/>
      <w:em w:val="none"/>
    </w:rPr>
  </w:style>
  <w:style w:type="character" w:styleId="WW8Num8z8">
    <w:name w:val="WW8Num8z8"/>
    <w:qFormat/>
    <w:rPr>
      <w:w w:val="100"/>
      <w:position w:val="0"/>
      <w:sz w:val="24"/>
      <w:sz w:val="24"/>
      <w:effect w:val="none"/>
      <w:vertAlign w:val="baseline"/>
      <w:em w:val="none"/>
    </w:rPr>
  </w:style>
  <w:style w:type="character" w:styleId="WW8Num9z0">
    <w:name w:val="WW8Num9z0"/>
    <w:qFormat/>
    <w:rPr>
      <w:w w:val="100"/>
      <w:position w:val="0"/>
      <w:sz w:val="24"/>
      <w:sz w:val="24"/>
      <w:effect w:val="none"/>
      <w:vertAlign w:val="baseline"/>
      <w:em w:val="none"/>
    </w:rPr>
  </w:style>
  <w:style w:type="character" w:styleId="WW8Num9z1">
    <w:name w:val="WW8Num9z1"/>
    <w:qFormat/>
    <w:rPr>
      <w:w w:val="100"/>
      <w:position w:val="0"/>
      <w:sz w:val="24"/>
      <w:sz w:val="24"/>
      <w:effect w:val="none"/>
      <w:vertAlign w:val="baseline"/>
      <w:em w:val="none"/>
    </w:rPr>
  </w:style>
  <w:style w:type="character" w:styleId="WW8Num9z2">
    <w:name w:val="WW8Num9z2"/>
    <w:qFormat/>
    <w:rPr>
      <w:w w:val="100"/>
      <w:position w:val="0"/>
      <w:sz w:val="24"/>
      <w:sz w:val="24"/>
      <w:effect w:val="none"/>
      <w:vertAlign w:val="baseline"/>
      <w:em w:val="none"/>
    </w:rPr>
  </w:style>
  <w:style w:type="character" w:styleId="WW8Num9z3">
    <w:name w:val="WW8Num9z3"/>
    <w:qFormat/>
    <w:rPr>
      <w:w w:val="100"/>
      <w:position w:val="0"/>
      <w:sz w:val="24"/>
      <w:sz w:val="24"/>
      <w:effect w:val="none"/>
      <w:vertAlign w:val="baseline"/>
      <w:em w:val="none"/>
    </w:rPr>
  </w:style>
  <w:style w:type="character" w:styleId="WW8Num9z4">
    <w:name w:val="WW8Num9z4"/>
    <w:qFormat/>
    <w:rPr>
      <w:w w:val="100"/>
      <w:position w:val="0"/>
      <w:sz w:val="24"/>
      <w:sz w:val="24"/>
      <w:effect w:val="none"/>
      <w:vertAlign w:val="baseline"/>
      <w:em w:val="none"/>
    </w:rPr>
  </w:style>
  <w:style w:type="character" w:styleId="WW8Num9z5">
    <w:name w:val="WW8Num9z5"/>
    <w:qFormat/>
    <w:rPr>
      <w:w w:val="100"/>
      <w:position w:val="0"/>
      <w:sz w:val="24"/>
      <w:sz w:val="24"/>
      <w:effect w:val="none"/>
      <w:vertAlign w:val="baseline"/>
      <w:em w:val="none"/>
    </w:rPr>
  </w:style>
  <w:style w:type="character" w:styleId="WW8Num9z6">
    <w:name w:val="WW8Num9z6"/>
    <w:qFormat/>
    <w:rPr>
      <w:w w:val="100"/>
      <w:position w:val="0"/>
      <w:sz w:val="24"/>
      <w:sz w:val="24"/>
      <w:effect w:val="none"/>
      <w:vertAlign w:val="baseline"/>
      <w:em w:val="none"/>
    </w:rPr>
  </w:style>
  <w:style w:type="character" w:styleId="WW8Num9z7">
    <w:name w:val="WW8Num9z7"/>
    <w:qFormat/>
    <w:rPr>
      <w:w w:val="100"/>
      <w:position w:val="0"/>
      <w:sz w:val="24"/>
      <w:sz w:val="24"/>
      <w:effect w:val="none"/>
      <w:vertAlign w:val="baseline"/>
      <w:em w:val="none"/>
    </w:rPr>
  </w:style>
  <w:style w:type="character" w:styleId="WW8Num9z8">
    <w:name w:val="WW8Num9z8"/>
    <w:qFormat/>
    <w:rPr>
      <w:w w:val="100"/>
      <w:position w:val="0"/>
      <w:sz w:val="24"/>
      <w:sz w:val="24"/>
      <w:effect w:val="none"/>
      <w:vertAlign w:val="baseline"/>
      <w:em w:val="none"/>
    </w:rPr>
  </w:style>
  <w:style w:type="character" w:styleId="WW8Num10z2">
    <w:name w:val="WW8Num10z2"/>
    <w:qFormat/>
    <w:rPr>
      <w:w w:val="100"/>
      <w:position w:val="0"/>
      <w:sz w:val="24"/>
      <w:sz w:val="24"/>
      <w:effect w:val="none"/>
      <w:vertAlign w:val="baseline"/>
      <w:em w:val="none"/>
    </w:rPr>
  </w:style>
  <w:style w:type="character" w:styleId="WW8Num10z3">
    <w:name w:val="WW8Num10z3"/>
    <w:qFormat/>
    <w:rPr>
      <w:w w:val="100"/>
      <w:position w:val="0"/>
      <w:sz w:val="24"/>
      <w:sz w:val="24"/>
      <w:effect w:val="none"/>
      <w:vertAlign w:val="baseline"/>
      <w:em w:val="none"/>
    </w:rPr>
  </w:style>
  <w:style w:type="character" w:styleId="WW8Num10z4">
    <w:name w:val="WW8Num10z4"/>
    <w:qFormat/>
    <w:rPr>
      <w:w w:val="100"/>
      <w:position w:val="0"/>
      <w:sz w:val="24"/>
      <w:sz w:val="24"/>
      <w:effect w:val="none"/>
      <w:vertAlign w:val="baseline"/>
      <w:em w:val="none"/>
    </w:rPr>
  </w:style>
  <w:style w:type="character" w:styleId="WW8Num10z5">
    <w:name w:val="WW8Num10z5"/>
    <w:qFormat/>
    <w:rPr>
      <w:w w:val="100"/>
      <w:position w:val="0"/>
      <w:sz w:val="24"/>
      <w:sz w:val="24"/>
      <w:effect w:val="none"/>
      <w:vertAlign w:val="baseline"/>
      <w:em w:val="none"/>
    </w:rPr>
  </w:style>
  <w:style w:type="character" w:styleId="WW8Num10z6">
    <w:name w:val="WW8Num10z6"/>
    <w:qFormat/>
    <w:rPr>
      <w:w w:val="100"/>
      <w:position w:val="0"/>
      <w:sz w:val="24"/>
      <w:sz w:val="24"/>
      <w:effect w:val="none"/>
      <w:vertAlign w:val="baseline"/>
      <w:em w:val="none"/>
    </w:rPr>
  </w:style>
  <w:style w:type="character" w:styleId="WW8Num10z7">
    <w:name w:val="WW8Num10z7"/>
    <w:qFormat/>
    <w:rPr>
      <w:w w:val="100"/>
      <w:position w:val="0"/>
      <w:sz w:val="24"/>
      <w:sz w:val="24"/>
      <w:effect w:val="none"/>
      <w:vertAlign w:val="baseline"/>
      <w:em w:val="none"/>
    </w:rPr>
  </w:style>
  <w:style w:type="character" w:styleId="WW8Num10z8">
    <w:name w:val="WW8Num10z8"/>
    <w:qFormat/>
    <w:rPr>
      <w:w w:val="100"/>
      <w:position w:val="0"/>
      <w:sz w:val="24"/>
      <w:sz w:val="24"/>
      <w:effect w:val="none"/>
      <w:vertAlign w:val="baseline"/>
      <w:em w:val="none"/>
    </w:rPr>
  </w:style>
  <w:style w:type="character" w:styleId="WW8Num11z1">
    <w:name w:val="WW8Num11z1"/>
    <w:qFormat/>
    <w:rPr>
      <w:w w:val="100"/>
      <w:position w:val="0"/>
      <w:sz w:val="24"/>
      <w:sz w:val="24"/>
      <w:effect w:val="none"/>
      <w:vertAlign w:val="baseline"/>
      <w:em w:val="none"/>
    </w:rPr>
  </w:style>
  <w:style w:type="character" w:styleId="WW8Num11z2">
    <w:name w:val="WW8Num11z2"/>
    <w:qFormat/>
    <w:rPr>
      <w:w w:val="100"/>
      <w:position w:val="0"/>
      <w:sz w:val="24"/>
      <w:sz w:val="24"/>
      <w:effect w:val="none"/>
      <w:vertAlign w:val="baseline"/>
      <w:em w:val="none"/>
    </w:rPr>
  </w:style>
  <w:style w:type="character" w:styleId="WW8Num11z3">
    <w:name w:val="WW8Num11z3"/>
    <w:qFormat/>
    <w:rPr>
      <w:w w:val="100"/>
      <w:position w:val="0"/>
      <w:sz w:val="24"/>
      <w:sz w:val="24"/>
      <w:effect w:val="none"/>
      <w:vertAlign w:val="baseline"/>
      <w:em w:val="none"/>
    </w:rPr>
  </w:style>
  <w:style w:type="character" w:styleId="WW8Num11z4">
    <w:name w:val="WW8Num11z4"/>
    <w:qFormat/>
    <w:rPr>
      <w:w w:val="100"/>
      <w:position w:val="0"/>
      <w:sz w:val="24"/>
      <w:sz w:val="24"/>
      <w:effect w:val="none"/>
      <w:vertAlign w:val="baseline"/>
      <w:em w:val="none"/>
    </w:rPr>
  </w:style>
  <w:style w:type="character" w:styleId="WW8Num11z5">
    <w:name w:val="WW8Num11z5"/>
    <w:qFormat/>
    <w:rPr>
      <w:w w:val="100"/>
      <w:position w:val="0"/>
      <w:sz w:val="24"/>
      <w:sz w:val="24"/>
      <w:effect w:val="none"/>
      <w:vertAlign w:val="baseline"/>
      <w:em w:val="none"/>
    </w:rPr>
  </w:style>
  <w:style w:type="character" w:styleId="WW8Num11z6">
    <w:name w:val="WW8Num11z6"/>
    <w:qFormat/>
    <w:rPr>
      <w:w w:val="100"/>
      <w:position w:val="0"/>
      <w:sz w:val="24"/>
      <w:sz w:val="24"/>
      <w:effect w:val="none"/>
      <w:vertAlign w:val="baseline"/>
      <w:em w:val="none"/>
    </w:rPr>
  </w:style>
  <w:style w:type="character" w:styleId="WW8Num11z7">
    <w:name w:val="WW8Num11z7"/>
    <w:qFormat/>
    <w:rPr>
      <w:w w:val="100"/>
      <w:position w:val="0"/>
      <w:sz w:val="24"/>
      <w:sz w:val="24"/>
      <w:effect w:val="none"/>
      <w:vertAlign w:val="baseline"/>
      <w:em w:val="none"/>
    </w:rPr>
  </w:style>
  <w:style w:type="character" w:styleId="WW8Num11z8">
    <w:name w:val="WW8Num11z8"/>
    <w:qFormat/>
    <w:rPr>
      <w:w w:val="100"/>
      <w:position w:val="0"/>
      <w:sz w:val="24"/>
      <w:sz w:val="24"/>
      <w:effect w:val="none"/>
      <w:vertAlign w:val="baseline"/>
      <w:em w:val="none"/>
    </w:rPr>
  </w:style>
  <w:style w:type="character" w:styleId="WW8Num12z0">
    <w:name w:val="WW8Num12z0"/>
    <w:qFormat/>
    <w:rPr>
      <w:w w:val="100"/>
      <w:position w:val="0"/>
      <w:sz w:val="24"/>
      <w:sz w:val="24"/>
      <w:effect w:val="none"/>
      <w:vertAlign w:val="baseline"/>
      <w:em w:val="none"/>
    </w:rPr>
  </w:style>
  <w:style w:type="character" w:styleId="WW8Num12z1">
    <w:name w:val="WW8Num12z1"/>
    <w:qFormat/>
    <w:rPr>
      <w:w w:val="100"/>
      <w:position w:val="0"/>
      <w:sz w:val="24"/>
      <w:sz w:val="24"/>
      <w:effect w:val="none"/>
      <w:vertAlign w:val="baseline"/>
      <w:em w:val="none"/>
    </w:rPr>
  </w:style>
  <w:style w:type="character" w:styleId="WW8Num12z2">
    <w:name w:val="WW8Num12z2"/>
    <w:qFormat/>
    <w:rPr>
      <w:w w:val="100"/>
      <w:position w:val="0"/>
      <w:sz w:val="24"/>
      <w:sz w:val="24"/>
      <w:effect w:val="none"/>
      <w:vertAlign w:val="baseline"/>
      <w:em w:val="none"/>
    </w:rPr>
  </w:style>
  <w:style w:type="character" w:styleId="WW8Num12z3">
    <w:name w:val="WW8Num12z3"/>
    <w:qFormat/>
    <w:rPr>
      <w:w w:val="100"/>
      <w:position w:val="0"/>
      <w:sz w:val="24"/>
      <w:sz w:val="24"/>
      <w:effect w:val="none"/>
      <w:vertAlign w:val="baseline"/>
      <w:em w:val="none"/>
    </w:rPr>
  </w:style>
  <w:style w:type="character" w:styleId="WW8Num12z4">
    <w:name w:val="WW8Num12z4"/>
    <w:qFormat/>
    <w:rPr>
      <w:w w:val="100"/>
      <w:position w:val="0"/>
      <w:sz w:val="24"/>
      <w:sz w:val="24"/>
      <w:effect w:val="none"/>
      <w:vertAlign w:val="baseline"/>
      <w:em w:val="none"/>
    </w:rPr>
  </w:style>
  <w:style w:type="character" w:styleId="WW8Num12z5">
    <w:name w:val="WW8Num12z5"/>
    <w:qFormat/>
    <w:rPr>
      <w:w w:val="100"/>
      <w:position w:val="0"/>
      <w:sz w:val="24"/>
      <w:sz w:val="24"/>
      <w:effect w:val="none"/>
      <w:vertAlign w:val="baseline"/>
      <w:em w:val="none"/>
    </w:rPr>
  </w:style>
  <w:style w:type="character" w:styleId="WW8Num12z6">
    <w:name w:val="WW8Num12z6"/>
    <w:qFormat/>
    <w:rPr>
      <w:w w:val="100"/>
      <w:position w:val="0"/>
      <w:sz w:val="24"/>
      <w:sz w:val="24"/>
      <w:effect w:val="none"/>
      <w:vertAlign w:val="baseline"/>
      <w:em w:val="none"/>
    </w:rPr>
  </w:style>
  <w:style w:type="character" w:styleId="WW8Num12z7">
    <w:name w:val="WW8Num12z7"/>
    <w:qFormat/>
    <w:rPr>
      <w:w w:val="100"/>
      <w:position w:val="0"/>
      <w:sz w:val="24"/>
      <w:sz w:val="24"/>
      <w:effect w:val="none"/>
      <w:vertAlign w:val="baseline"/>
      <w:em w:val="none"/>
    </w:rPr>
  </w:style>
  <w:style w:type="character" w:styleId="WW8Num12z8">
    <w:name w:val="WW8Num12z8"/>
    <w:qFormat/>
    <w:rPr>
      <w:w w:val="100"/>
      <w:position w:val="0"/>
      <w:sz w:val="24"/>
      <w:sz w:val="24"/>
      <w:effect w:val="none"/>
      <w:vertAlign w:val="baseline"/>
      <w:em w:val="none"/>
    </w:rPr>
  </w:style>
  <w:style w:type="character" w:styleId="WW8Num13z0">
    <w:name w:val="WW8Num13z0"/>
    <w:qFormat/>
    <w:rPr>
      <w:w w:val="100"/>
      <w:position w:val="0"/>
      <w:sz w:val="24"/>
      <w:sz w:val="24"/>
      <w:effect w:val="none"/>
      <w:vertAlign w:val="baseline"/>
      <w:em w:val="none"/>
    </w:rPr>
  </w:style>
  <w:style w:type="character" w:styleId="WW8Num13z1">
    <w:name w:val="WW8Num13z1"/>
    <w:qFormat/>
    <w:rPr>
      <w:w w:val="100"/>
      <w:position w:val="0"/>
      <w:sz w:val="24"/>
      <w:sz w:val="24"/>
      <w:effect w:val="none"/>
      <w:vertAlign w:val="baseline"/>
      <w:em w:val="none"/>
    </w:rPr>
  </w:style>
  <w:style w:type="character" w:styleId="WW8Num13z2">
    <w:name w:val="WW8Num13z2"/>
    <w:qFormat/>
    <w:rPr>
      <w:w w:val="100"/>
      <w:position w:val="0"/>
      <w:sz w:val="24"/>
      <w:sz w:val="24"/>
      <w:effect w:val="none"/>
      <w:vertAlign w:val="baseline"/>
      <w:em w:val="none"/>
    </w:rPr>
  </w:style>
  <w:style w:type="character" w:styleId="WW8Num13z3">
    <w:name w:val="WW8Num13z3"/>
    <w:qFormat/>
    <w:rPr>
      <w:w w:val="100"/>
      <w:position w:val="0"/>
      <w:sz w:val="24"/>
      <w:sz w:val="24"/>
      <w:effect w:val="none"/>
      <w:vertAlign w:val="baseline"/>
      <w:em w:val="none"/>
    </w:rPr>
  </w:style>
  <w:style w:type="character" w:styleId="WW8Num13z4">
    <w:name w:val="WW8Num13z4"/>
    <w:qFormat/>
    <w:rPr>
      <w:w w:val="100"/>
      <w:position w:val="0"/>
      <w:sz w:val="24"/>
      <w:sz w:val="24"/>
      <w:effect w:val="none"/>
      <w:vertAlign w:val="baseline"/>
      <w:em w:val="none"/>
    </w:rPr>
  </w:style>
  <w:style w:type="character" w:styleId="WW8Num13z5">
    <w:name w:val="WW8Num13z5"/>
    <w:qFormat/>
    <w:rPr>
      <w:w w:val="100"/>
      <w:position w:val="0"/>
      <w:sz w:val="24"/>
      <w:sz w:val="24"/>
      <w:effect w:val="none"/>
      <w:vertAlign w:val="baseline"/>
      <w:em w:val="none"/>
    </w:rPr>
  </w:style>
  <w:style w:type="character" w:styleId="WW8Num13z6">
    <w:name w:val="WW8Num13z6"/>
    <w:qFormat/>
    <w:rPr>
      <w:w w:val="100"/>
      <w:position w:val="0"/>
      <w:sz w:val="24"/>
      <w:sz w:val="24"/>
      <w:effect w:val="none"/>
      <w:vertAlign w:val="baseline"/>
      <w:em w:val="none"/>
    </w:rPr>
  </w:style>
  <w:style w:type="character" w:styleId="WW8Num13z7">
    <w:name w:val="WW8Num13z7"/>
    <w:qFormat/>
    <w:rPr>
      <w:w w:val="100"/>
      <w:position w:val="0"/>
      <w:sz w:val="24"/>
      <w:sz w:val="24"/>
      <w:effect w:val="none"/>
      <w:vertAlign w:val="baseline"/>
      <w:em w:val="none"/>
    </w:rPr>
  </w:style>
  <w:style w:type="character" w:styleId="WW8Num13z8">
    <w:name w:val="WW8Num13z8"/>
    <w:qFormat/>
    <w:rPr>
      <w:w w:val="100"/>
      <w:position w:val="0"/>
      <w:sz w:val="24"/>
      <w:sz w:val="24"/>
      <w:effect w:val="none"/>
      <w:vertAlign w:val="baseline"/>
      <w:em w:val="none"/>
    </w:rPr>
  </w:style>
  <w:style w:type="character" w:styleId="WW8Num14z1">
    <w:name w:val="WW8Num14z1"/>
    <w:qFormat/>
    <w:rPr>
      <w:w w:val="100"/>
      <w:position w:val="0"/>
      <w:sz w:val="24"/>
      <w:sz w:val="24"/>
      <w:effect w:val="none"/>
      <w:vertAlign w:val="baseline"/>
      <w:em w:val="none"/>
    </w:rPr>
  </w:style>
  <w:style w:type="character" w:styleId="WW8Num14z2">
    <w:name w:val="WW8Num14z2"/>
    <w:qFormat/>
    <w:rPr>
      <w:w w:val="100"/>
      <w:position w:val="0"/>
      <w:sz w:val="24"/>
      <w:sz w:val="24"/>
      <w:effect w:val="none"/>
      <w:vertAlign w:val="baseline"/>
      <w:em w:val="none"/>
    </w:rPr>
  </w:style>
  <w:style w:type="character" w:styleId="WW8Num14z3">
    <w:name w:val="WW8Num14z3"/>
    <w:qFormat/>
    <w:rPr>
      <w:w w:val="100"/>
      <w:position w:val="0"/>
      <w:sz w:val="24"/>
      <w:sz w:val="24"/>
      <w:effect w:val="none"/>
      <w:vertAlign w:val="baseline"/>
      <w:em w:val="none"/>
    </w:rPr>
  </w:style>
  <w:style w:type="character" w:styleId="WW8Num14z4">
    <w:name w:val="WW8Num14z4"/>
    <w:qFormat/>
    <w:rPr>
      <w:w w:val="100"/>
      <w:position w:val="0"/>
      <w:sz w:val="24"/>
      <w:sz w:val="24"/>
      <w:effect w:val="none"/>
      <w:vertAlign w:val="baseline"/>
      <w:em w:val="none"/>
    </w:rPr>
  </w:style>
  <w:style w:type="character" w:styleId="WW8Num14z5">
    <w:name w:val="WW8Num14z5"/>
    <w:qFormat/>
    <w:rPr>
      <w:w w:val="100"/>
      <w:position w:val="0"/>
      <w:sz w:val="24"/>
      <w:sz w:val="24"/>
      <w:effect w:val="none"/>
      <w:vertAlign w:val="baseline"/>
      <w:em w:val="none"/>
    </w:rPr>
  </w:style>
  <w:style w:type="character" w:styleId="WW8Num14z6">
    <w:name w:val="WW8Num14z6"/>
    <w:qFormat/>
    <w:rPr>
      <w:w w:val="100"/>
      <w:position w:val="0"/>
      <w:sz w:val="24"/>
      <w:sz w:val="24"/>
      <w:effect w:val="none"/>
      <w:vertAlign w:val="baseline"/>
      <w:em w:val="none"/>
    </w:rPr>
  </w:style>
  <w:style w:type="character" w:styleId="WW8Num14z7">
    <w:name w:val="WW8Num14z7"/>
    <w:qFormat/>
    <w:rPr>
      <w:w w:val="100"/>
      <w:position w:val="0"/>
      <w:sz w:val="24"/>
      <w:sz w:val="24"/>
      <w:effect w:val="none"/>
      <w:vertAlign w:val="baseline"/>
      <w:em w:val="none"/>
    </w:rPr>
  </w:style>
  <w:style w:type="character" w:styleId="WW8Num14z8">
    <w:name w:val="WW8Num14z8"/>
    <w:qFormat/>
    <w:rPr>
      <w:w w:val="100"/>
      <w:position w:val="0"/>
      <w:sz w:val="24"/>
      <w:sz w:val="24"/>
      <w:effect w:val="none"/>
      <w:vertAlign w:val="baseline"/>
      <w:em w:val="none"/>
    </w:rPr>
  </w:style>
  <w:style w:type="character" w:styleId="WW8Num15z1">
    <w:name w:val="WW8Num15z1"/>
    <w:qFormat/>
    <w:rPr>
      <w:w w:val="100"/>
      <w:position w:val="0"/>
      <w:sz w:val="24"/>
      <w:sz w:val="24"/>
      <w:effect w:val="none"/>
      <w:vertAlign w:val="baseline"/>
      <w:em w:val="none"/>
    </w:rPr>
  </w:style>
  <w:style w:type="character" w:styleId="WW8Num15z2">
    <w:name w:val="WW8Num15z2"/>
    <w:qFormat/>
    <w:rPr>
      <w:w w:val="100"/>
      <w:position w:val="0"/>
      <w:sz w:val="24"/>
      <w:sz w:val="24"/>
      <w:effect w:val="none"/>
      <w:vertAlign w:val="baseline"/>
      <w:em w:val="none"/>
    </w:rPr>
  </w:style>
  <w:style w:type="character" w:styleId="WW8Num15z3">
    <w:name w:val="WW8Num15z3"/>
    <w:qFormat/>
    <w:rPr>
      <w:w w:val="100"/>
      <w:position w:val="0"/>
      <w:sz w:val="24"/>
      <w:sz w:val="24"/>
      <w:effect w:val="none"/>
      <w:vertAlign w:val="baseline"/>
      <w:em w:val="none"/>
    </w:rPr>
  </w:style>
  <w:style w:type="character" w:styleId="WW8Num15z4">
    <w:name w:val="WW8Num15z4"/>
    <w:qFormat/>
    <w:rPr>
      <w:w w:val="100"/>
      <w:position w:val="0"/>
      <w:sz w:val="24"/>
      <w:sz w:val="24"/>
      <w:effect w:val="none"/>
      <w:vertAlign w:val="baseline"/>
      <w:em w:val="none"/>
    </w:rPr>
  </w:style>
  <w:style w:type="character" w:styleId="WW8Num15z5">
    <w:name w:val="WW8Num15z5"/>
    <w:qFormat/>
    <w:rPr>
      <w:w w:val="100"/>
      <w:position w:val="0"/>
      <w:sz w:val="24"/>
      <w:sz w:val="24"/>
      <w:effect w:val="none"/>
      <w:vertAlign w:val="baseline"/>
      <w:em w:val="none"/>
    </w:rPr>
  </w:style>
  <w:style w:type="character" w:styleId="WW8Num15z6">
    <w:name w:val="WW8Num15z6"/>
    <w:qFormat/>
    <w:rPr>
      <w:w w:val="100"/>
      <w:position w:val="0"/>
      <w:sz w:val="24"/>
      <w:sz w:val="24"/>
      <w:effect w:val="none"/>
      <w:vertAlign w:val="baseline"/>
      <w:em w:val="none"/>
    </w:rPr>
  </w:style>
  <w:style w:type="character" w:styleId="WW8Num15z7">
    <w:name w:val="WW8Num15z7"/>
    <w:qFormat/>
    <w:rPr>
      <w:w w:val="100"/>
      <w:position w:val="0"/>
      <w:sz w:val="24"/>
      <w:sz w:val="24"/>
      <w:effect w:val="none"/>
      <w:vertAlign w:val="baseline"/>
      <w:em w:val="none"/>
    </w:rPr>
  </w:style>
  <w:style w:type="character" w:styleId="WW8Num15z8">
    <w:name w:val="WW8Num15z8"/>
    <w:qFormat/>
    <w:rPr>
      <w:w w:val="100"/>
      <w:position w:val="0"/>
      <w:sz w:val="24"/>
      <w:sz w:val="24"/>
      <w:effect w:val="none"/>
      <w:vertAlign w:val="baseline"/>
      <w:em w:val="none"/>
    </w:rPr>
  </w:style>
  <w:style w:type="character" w:styleId="WW8Num16z2">
    <w:name w:val="WW8Num16z2"/>
    <w:qFormat/>
    <w:rPr>
      <w:w w:val="100"/>
      <w:position w:val="0"/>
      <w:sz w:val="24"/>
      <w:sz w:val="24"/>
      <w:effect w:val="none"/>
      <w:vertAlign w:val="baseline"/>
      <w:em w:val="none"/>
    </w:rPr>
  </w:style>
  <w:style w:type="character" w:styleId="WW8Num16z3">
    <w:name w:val="WW8Num16z3"/>
    <w:qFormat/>
    <w:rPr>
      <w:w w:val="100"/>
      <w:position w:val="0"/>
      <w:sz w:val="24"/>
      <w:sz w:val="24"/>
      <w:effect w:val="none"/>
      <w:vertAlign w:val="baseline"/>
      <w:em w:val="none"/>
    </w:rPr>
  </w:style>
  <w:style w:type="character" w:styleId="WW8Num16z4">
    <w:name w:val="WW8Num16z4"/>
    <w:qFormat/>
    <w:rPr>
      <w:w w:val="100"/>
      <w:position w:val="0"/>
      <w:sz w:val="24"/>
      <w:sz w:val="24"/>
      <w:effect w:val="none"/>
      <w:vertAlign w:val="baseline"/>
      <w:em w:val="none"/>
    </w:rPr>
  </w:style>
  <w:style w:type="character" w:styleId="WW8Num16z5">
    <w:name w:val="WW8Num16z5"/>
    <w:qFormat/>
    <w:rPr>
      <w:w w:val="100"/>
      <w:position w:val="0"/>
      <w:sz w:val="24"/>
      <w:sz w:val="24"/>
      <w:effect w:val="none"/>
      <w:vertAlign w:val="baseline"/>
      <w:em w:val="none"/>
    </w:rPr>
  </w:style>
  <w:style w:type="character" w:styleId="WW8Num16z6">
    <w:name w:val="WW8Num16z6"/>
    <w:qFormat/>
    <w:rPr>
      <w:w w:val="100"/>
      <w:position w:val="0"/>
      <w:sz w:val="24"/>
      <w:sz w:val="24"/>
      <w:effect w:val="none"/>
      <w:vertAlign w:val="baseline"/>
      <w:em w:val="none"/>
    </w:rPr>
  </w:style>
  <w:style w:type="character" w:styleId="WW8Num16z7">
    <w:name w:val="WW8Num16z7"/>
    <w:qFormat/>
    <w:rPr>
      <w:w w:val="100"/>
      <w:position w:val="0"/>
      <w:sz w:val="24"/>
      <w:sz w:val="24"/>
      <w:effect w:val="none"/>
      <w:vertAlign w:val="baseline"/>
      <w:em w:val="none"/>
    </w:rPr>
  </w:style>
  <w:style w:type="character" w:styleId="WW8Num16z8">
    <w:name w:val="WW8Num16z8"/>
    <w:qFormat/>
    <w:rPr>
      <w:w w:val="100"/>
      <w:position w:val="0"/>
      <w:sz w:val="24"/>
      <w:sz w:val="24"/>
      <w:effect w:val="none"/>
      <w:vertAlign w:val="baseline"/>
      <w:em w:val="none"/>
    </w:rPr>
  </w:style>
  <w:style w:type="character" w:styleId="WW8Num17z3">
    <w:name w:val="WW8Num17z3"/>
    <w:qFormat/>
    <w:rPr>
      <w:w w:val="100"/>
      <w:position w:val="0"/>
      <w:sz w:val="24"/>
      <w:sz w:val="24"/>
      <w:effect w:val="none"/>
      <w:vertAlign w:val="baseline"/>
      <w:em w:val="none"/>
    </w:rPr>
  </w:style>
  <w:style w:type="character" w:styleId="WW8Num17z4">
    <w:name w:val="WW8Num17z4"/>
    <w:qFormat/>
    <w:rPr>
      <w:w w:val="100"/>
      <w:position w:val="0"/>
      <w:sz w:val="24"/>
      <w:sz w:val="24"/>
      <w:effect w:val="none"/>
      <w:vertAlign w:val="baseline"/>
      <w:em w:val="none"/>
    </w:rPr>
  </w:style>
  <w:style w:type="character" w:styleId="WW8Num17z5">
    <w:name w:val="WW8Num17z5"/>
    <w:qFormat/>
    <w:rPr>
      <w:w w:val="100"/>
      <w:position w:val="0"/>
      <w:sz w:val="24"/>
      <w:sz w:val="24"/>
      <w:effect w:val="none"/>
      <w:vertAlign w:val="baseline"/>
      <w:em w:val="none"/>
    </w:rPr>
  </w:style>
  <w:style w:type="character" w:styleId="WW8Num17z6">
    <w:name w:val="WW8Num17z6"/>
    <w:qFormat/>
    <w:rPr>
      <w:w w:val="100"/>
      <w:position w:val="0"/>
      <w:sz w:val="24"/>
      <w:sz w:val="24"/>
      <w:effect w:val="none"/>
      <w:vertAlign w:val="baseline"/>
      <w:em w:val="none"/>
    </w:rPr>
  </w:style>
  <w:style w:type="character" w:styleId="WW8Num17z7">
    <w:name w:val="WW8Num17z7"/>
    <w:qFormat/>
    <w:rPr>
      <w:w w:val="100"/>
      <w:position w:val="0"/>
      <w:sz w:val="24"/>
      <w:sz w:val="24"/>
      <w:effect w:val="none"/>
      <w:vertAlign w:val="baseline"/>
      <w:em w:val="none"/>
    </w:rPr>
  </w:style>
  <w:style w:type="character" w:styleId="WW8Num17z8">
    <w:name w:val="WW8Num17z8"/>
    <w:qFormat/>
    <w:rPr>
      <w:w w:val="100"/>
      <w:position w:val="0"/>
      <w:sz w:val="24"/>
      <w:sz w:val="24"/>
      <w:effect w:val="none"/>
      <w:vertAlign w:val="baseline"/>
      <w:em w:val="none"/>
    </w:rPr>
  </w:style>
  <w:style w:type="character" w:styleId="WW8Num18z0">
    <w:name w:val="WW8Num18z0"/>
    <w:qFormat/>
    <w:rPr>
      <w:rFonts w:ascii="Arial" w:hAnsi="Arial" w:cs="Arial"/>
      <w:w w:val="100"/>
      <w:position w:val="0"/>
      <w:sz w:val="20"/>
      <w:sz w:val="20"/>
      <w:szCs w:val="20"/>
      <w:effect w:val="none"/>
      <w:vertAlign w:val="baseline"/>
      <w:em w:val="none"/>
    </w:rPr>
  </w:style>
  <w:style w:type="character" w:styleId="WW8Num18z1">
    <w:name w:val="WW8Num18z1"/>
    <w:qFormat/>
    <w:rPr>
      <w:w w:val="100"/>
      <w:position w:val="0"/>
      <w:sz w:val="24"/>
      <w:sz w:val="24"/>
      <w:effect w:val="none"/>
      <w:vertAlign w:val="baseline"/>
      <w:em w:val="none"/>
    </w:rPr>
  </w:style>
  <w:style w:type="character" w:styleId="WW8Num18z2">
    <w:name w:val="WW8Num18z2"/>
    <w:qFormat/>
    <w:rPr>
      <w:w w:val="100"/>
      <w:position w:val="0"/>
      <w:sz w:val="24"/>
      <w:sz w:val="24"/>
      <w:effect w:val="none"/>
      <w:vertAlign w:val="baseline"/>
      <w:em w:val="none"/>
    </w:rPr>
  </w:style>
  <w:style w:type="character" w:styleId="WW8Num18z3">
    <w:name w:val="WW8Num18z3"/>
    <w:qFormat/>
    <w:rPr>
      <w:w w:val="100"/>
      <w:position w:val="0"/>
      <w:sz w:val="24"/>
      <w:sz w:val="24"/>
      <w:effect w:val="none"/>
      <w:vertAlign w:val="baseline"/>
      <w:em w:val="none"/>
    </w:rPr>
  </w:style>
  <w:style w:type="character" w:styleId="WW8Num18z4">
    <w:name w:val="WW8Num18z4"/>
    <w:qFormat/>
    <w:rPr>
      <w:w w:val="100"/>
      <w:position w:val="0"/>
      <w:sz w:val="24"/>
      <w:sz w:val="24"/>
      <w:effect w:val="none"/>
      <w:vertAlign w:val="baseline"/>
      <w:em w:val="none"/>
    </w:rPr>
  </w:style>
  <w:style w:type="character" w:styleId="WW8Num18z5">
    <w:name w:val="WW8Num18z5"/>
    <w:qFormat/>
    <w:rPr>
      <w:w w:val="100"/>
      <w:position w:val="0"/>
      <w:sz w:val="24"/>
      <w:sz w:val="24"/>
      <w:effect w:val="none"/>
      <w:vertAlign w:val="baseline"/>
      <w:em w:val="none"/>
    </w:rPr>
  </w:style>
  <w:style w:type="character" w:styleId="WW8Num18z6">
    <w:name w:val="WW8Num18z6"/>
    <w:qFormat/>
    <w:rPr>
      <w:w w:val="100"/>
      <w:position w:val="0"/>
      <w:sz w:val="24"/>
      <w:sz w:val="24"/>
      <w:effect w:val="none"/>
      <w:vertAlign w:val="baseline"/>
      <w:em w:val="none"/>
    </w:rPr>
  </w:style>
  <w:style w:type="character" w:styleId="WW8Num18z7">
    <w:name w:val="WW8Num18z7"/>
    <w:qFormat/>
    <w:rPr>
      <w:w w:val="100"/>
      <w:position w:val="0"/>
      <w:sz w:val="24"/>
      <w:sz w:val="24"/>
      <w:effect w:val="none"/>
      <w:vertAlign w:val="baseline"/>
      <w:em w:val="none"/>
    </w:rPr>
  </w:style>
  <w:style w:type="character" w:styleId="WW8Num18z8">
    <w:name w:val="WW8Num18z8"/>
    <w:qFormat/>
    <w:rPr>
      <w:w w:val="100"/>
      <w:position w:val="0"/>
      <w:sz w:val="24"/>
      <w:sz w:val="24"/>
      <w:effect w:val="none"/>
      <w:vertAlign w:val="baseline"/>
      <w:em w:val="none"/>
    </w:rPr>
  </w:style>
  <w:style w:type="character" w:styleId="WW8Num19z0">
    <w:name w:val="WW8Num19z0"/>
    <w:qFormat/>
    <w:rPr>
      <w:rFonts w:ascii="Arial" w:hAnsi="Arial" w:cs="Arial"/>
      <w:b/>
      <w:bCs/>
      <w:w w:val="100"/>
      <w:position w:val="0"/>
      <w:sz w:val="20"/>
      <w:sz w:val="20"/>
      <w:szCs w:val="20"/>
      <w:effect w:val="none"/>
      <w:vertAlign w:val="baseline"/>
      <w:em w:val="none"/>
    </w:rPr>
  </w:style>
  <w:style w:type="character" w:styleId="WW8Num19z1">
    <w:name w:val="WW8Num19z1"/>
    <w:qFormat/>
    <w:rPr>
      <w:w w:val="100"/>
      <w:position w:val="0"/>
      <w:sz w:val="24"/>
      <w:sz w:val="24"/>
      <w:effect w:val="none"/>
      <w:vertAlign w:val="baseline"/>
      <w:em w:val="none"/>
    </w:rPr>
  </w:style>
  <w:style w:type="character" w:styleId="WW8Num19z2">
    <w:name w:val="WW8Num19z2"/>
    <w:qFormat/>
    <w:rPr>
      <w:w w:val="100"/>
      <w:position w:val="0"/>
      <w:sz w:val="24"/>
      <w:sz w:val="24"/>
      <w:effect w:val="none"/>
      <w:vertAlign w:val="baseline"/>
      <w:em w:val="none"/>
    </w:rPr>
  </w:style>
  <w:style w:type="character" w:styleId="WW8Num19z3">
    <w:name w:val="WW8Num19z3"/>
    <w:qFormat/>
    <w:rPr>
      <w:w w:val="100"/>
      <w:position w:val="0"/>
      <w:sz w:val="24"/>
      <w:sz w:val="24"/>
      <w:effect w:val="none"/>
      <w:vertAlign w:val="baseline"/>
      <w:em w:val="none"/>
    </w:rPr>
  </w:style>
  <w:style w:type="character" w:styleId="WW8Num19z4">
    <w:name w:val="WW8Num19z4"/>
    <w:qFormat/>
    <w:rPr>
      <w:w w:val="100"/>
      <w:position w:val="0"/>
      <w:sz w:val="24"/>
      <w:sz w:val="24"/>
      <w:effect w:val="none"/>
      <w:vertAlign w:val="baseline"/>
      <w:em w:val="none"/>
    </w:rPr>
  </w:style>
  <w:style w:type="character" w:styleId="WW8Num19z5">
    <w:name w:val="WW8Num19z5"/>
    <w:qFormat/>
    <w:rPr>
      <w:w w:val="100"/>
      <w:position w:val="0"/>
      <w:sz w:val="24"/>
      <w:sz w:val="24"/>
      <w:effect w:val="none"/>
      <w:vertAlign w:val="baseline"/>
      <w:em w:val="none"/>
    </w:rPr>
  </w:style>
  <w:style w:type="character" w:styleId="WW8Num19z6">
    <w:name w:val="WW8Num19z6"/>
    <w:qFormat/>
    <w:rPr>
      <w:w w:val="100"/>
      <w:position w:val="0"/>
      <w:sz w:val="24"/>
      <w:sz w:val="24"/>
      <w:effect w:val="none"/>
      <w:vertAlign w:val="baseline"/>
      <w:em w:val="none"/>
    </w:rPr>
  </w:style>
  <w:style w:type="character" w:styleId="WW8Num19z7">
    <w:name w:val="WW8Num19z7"/>
    <w:qFormat/>
    <w:rPr>
      <w:w w:val="100"/>
      <w:position w:val="0"/>
      <w:sz w:val="24"/>
      <w:sz w:val="24"/>
      <w:effect w:val="none"/>
      <w:vertAlign w:val="baseline"/>
      <w:em w:val="none"/>
    </w:rPr>
  </w:style>
  <w:style w:type="character" w:styleId="WW8Num19z8">
    <w:name w:val="WW8Num19z8"/>
    <w:qFormat/>
    <w:rPr>
      <w:w w:val="100"/>
      <w:position w:val="0"/>
      <w:sz w:val="24"/>
      <w:sz w:val="24"/>
      <w:effect w:val="none"/>
      <w:vertAlign w:val="baseline"/>
      <w:em w:val="none"/>
    </w:rPr>
  </w:style>
  <w:style w:type="character" w:styleId="WW8Num20z0">
    <w:name w:val="WW8Num20z0"/>
    <w:qFormat/>
    <w:rPr>
      <w:rFonts w:ascii="Arial" w:hAnsi="Arial" w:cs="Arial"/>
      <w:b/>
      <w:bCs/>
      <w:w w:val="100"/>
      <w:position w:val="0"/>
      <w:sz w:val="20"/>
      <w:sz w:val="20"/>
      <w:szCs w:val="20"/>
      <w:effect w:val="none"/>
      <w:vertAlign w:val="baseline"/>
      <w:em w:val="none"/>
    </w:rPr>
  </w:style>
  <w:style w:type="character" w:styleId="WW8Num20z1">
    <w:name w:val="WW8Num20z1"/>
    <w:qFormat/>
    <w:rPr>
      <w:rFonts w:ascii="Arial" w:hAnsi="Arial" w:cs="Arial"/>
      <w:w w:val="100"/>
      <w:position w:val="0"/>
      <w:sz w:val="20"/>
      <w:sz w:val="20"/>
      <w:szCs w:val="20"/>
      <w:effect w:val="none"/>
      <w:vertAlign w:val="baseline"/>
      <w:em w:val="none"/>
    </w:rPr>
  </w:style>
  <w:style w:type="character" w:styleId="WW8Num20z2">
    <w:name w:val="WW8Num20z2"/>
    <w:qFormat/>
    <w:rPr>
      <w:w w:val="100"/>
      <w:position w:val="0"/>
      <w:sz w:val="24"/>
      <w:sz w:val="24"/>
      <w:effect w:val="none"/>
      <w:vertAlign w:val="baseline"/>
      <w:em w:val="none"/>
    </w:rPr>
  </w:style>
  <w:style w:type="character" w:styleId="WW8Num20z3">
    <w:name w:val="WW8Num20z3"/>
    <w:qFormat/>
    <w:rPr>
      <w:w w:val="100"/>
      <w:position w:val="0"/>
      <w:sz w:val="24"/>
      <w:sz w:val="24"/>
      <w:effect w:val="none"/>
      <w:vertAlign w:val="baseline"/>
      <w:em w:val="none"/>
    </w:rPr>
  </w:style>
  <w:style w:type="character" w:styleId="WW8Num20z4">
    <w:name w:val="WW8Num20z4"/>
    <w:qFormat/>
    <w:rPr>
      <w:w w:val="100"/>
      <w:position w:val="0"/>
      <w:sz w:val="24"/>
      <w:sz w:val="24"/>
      <w:effect w:val="none"/>
      <w:vertAlign w:val="baseline"/>
      <w:em w:val="none"/>
    </w:rPr>
  </w:style>
  <w:style w:type="character" w:styleId="WW8Num20z5">
    <w:name w:val="WW8Num20z5"/>
    <w:qFormat/>
    <w:rPr>
      <w:w w:val="100"/>
      <w:position w:val="0"/>
      <w:sz w:val="24"/>
      <w:sz w:val="24"/>
      <w:effect w:val="none"/>
      <w:vertAlign w:val="baseline"/>
      <w:em w:val="none"/>
    </w:rPr>
  </w:style>
  <w:style w:type="character" w:styleId="WW8Num20z6">
    <w:name w:val="WW8Num20z6"/>
    <w:qFormat/>
    <w:rPr>
      <w:w w:val="100"/>
      <w:position w:val="0"/>
      <w:sz w:val="24"/>
      <w:sz w:val="24"/>
      <w:effect w:val="none"/>
      <w:vertAlign w:val="baseline"/>
      <w:em w:val="none"/>
    </w:rPr>
  </w:style>
  <w:style w:type="character" w:styleId="WW8Num20z7">
    <w:name w:val="WW8Num20z7"/>
    <w:qFormat/>
    <w:rPr>
      <w:w w:val="100"/>
      <w:position w:val="0"/>
      <w:sz w:val="24"/>
      <w:sz w:val="24"/>
      <w:effect w:val="none"/>
      <w:vertAlign w:val="baseline"/>
      <w:em w:val="none"/>
    </w:rPr>
  </w:style>
  <w:style w:type="character" w:styleId="WW8Num20z8">
    <w:name w:val="WW8Num20z8"/>
    <w:qFormat/>
    <w:rPr>
      <w:w w:val="100"/>
      <w:position w:val="0"/>
      <w:sz w:val="24"/>
      <w:sz w:val="24"/>
      <w:effect w:val="none"/>
      <w:vertAlign w:val="baseline"/>
      <w:em w:val="none"/>
    </w:rPr>
  </w:style>
  <w:style w:type="character" w:styleId="WW8Num21z0">
    <w:name w:val="WW8Num21z0"/>
    <w:qFormat/>
    <w:rPr>
      <w:rFonts w:ascii="Arial" w:hAnsi="Arial" w:cs="Symbol"/>
      <w:w w:val="100"/>
      <w:position w:val="0"/>
      <w:sz w:val="20"/>
      <w:sz w:val="20"/>
      <w:effect w:val="none"/>
      <w:vertAlign w:val="baseline"/>
      <w:em w:val="none"/>
    </w:rPr>
  </w:style>
  <w:style w:type="character" w:styleId="WW8Num21z1">
    <w:name w:val="WW8Num21z1"/>
    <w:qFormat/>
    <w:rPr>
      <w:rFonts w:ascii="Courier New" w:hAnsi="Courier New" w:cs="Courier New"/>
      <w:w w:val="100"/>
      <w:position w:val="0"/>
      <w:sz w:val="20"/>
      <w:sz w:val="20"/>
      <w:effect w:val="none"/>
      <w:vertAlign w:val="baseline"/>
      <w:em w:val="none"/>
    </w:rPr>
  </w:style>
  <w:style w:type="character" w:styleId="WW8Num21z2">
    <w:name w:val="WW8Num21z2"/>
    <w:qFormat/>
    <w:rPr>
      <w:rFonts w:ascii="Wingdings" w:hAnsi="Wingdings" w:cs="Wingdings"/>
      <w:w w:val="100"/>
      <w:position w:val="0"/>
      <w:sz w:val="20"/>
      <w:sz w:val="20"/>
      <w:effect w:val="none"/>
      <w:vertAlign w:val="baseline"/>
      <w:em w:val="none"/>
    </w:rPr>
  </w:style>
  <w:style w:type="character" w:styleId="WW8Num21z3">
    <w:name w:val="WW8Num21z3"/>
    <w:qFormat/>
    <w:rPr>
      <w:w w:val="100"/>
      <w:position w:val="0"/>
      <w:sz w:val="24"/>
      <w:sz w:val="24"/>
      <w:effect w:val="none"/>
      <w:vertAlign w:val="baseline"/>
      <w:em w:val="none"/>
    </w:rPr>
  </w:style>
  <w:style w:type="character" w:styleId="WW8Num21z4">
    <w:name w:val="WW8Num21z4"/>
    <w:qFormat/>
    <w:rPr>
      <w:w w:val="100"/>
      <w:position w:val="0"/>
      <w:sz w:val="24"/>
      <w:sz w:val="24"/>
      <w:effect w:val="none"/>
      <w:vertAlign w:val="baseline"/>
      <w:em w:val="none"/>
    </w:rPr>
  </w:style>
  <w:style w:type="character" w:styleId="WW8Num21z5">
    <w:name w:val="WW8Num21z5"/>
    <w:qFormat/>
    <w:rPr>
      <w:w w:val="100"/>
      <w:position w:val="0"/>
      <w:sz w:val="24"/>
      <w:sz w:val="24"/>
      <w:effect w:val="none"/>
      <w:vertAlign w:val="baseline"/>
      <w:em w:val="none"/>
    </w:rPr>
  </w:style>
  <w:style w:type="character" w:styleId="WW8Num21z6">
    <w:name w:val="WW8Num21z6"/>
    <w:qFormat/>
    <w:rPr>
      <w:w w:val="100"/>
      <w:position w:val="0"/>
      <w:sz w:val="24"/>
      <w:sz w:val="24"/>
      <w:effect w:val="none"/>
      <w:vertAlign w:val="baseline"/>
      <w:em w:val="none"/>
    </w:rPr>
  </w:style>
  <w:style w:type="character" w:styleId="WW8Num21z7">
    <w:name w:val="WW8Num21z7"/>
    <w:qFormat/>
    <w:rPr>
      <w:w w:val="100"/>
      <w:position w:val="0"/>
      <w:sz w:val="24"/>
      <w:sz w:val="24"/>
      <w:effect w:val="none"/>
      <w:vertAlign w:val="baseline"/>
      <w:em w:val="none"/>
    </w:rPr>
  </w:style>
  <w:style w:type="character" w:styleId="WW8Num21z8">
    <w:name w:val="WW8Num21z8"/>
    <w:qFormat/>
    <w:rPr>
      <w:w w:val="100"/>
      <w:position w:val="0"/>
      <w:sz w:val="24"/>
      <w:sz w:val="24"/>
      <w:effect w:val="none"/>
      <w:vertAlign w:val="baseline"/>
      <w:em w:val="none"/>
    </w:rPr>
  </w:style>
  <w:style w:type="character" w:styleId="Fontepargpadro">
    <w:name w:val="Fonte parág. padrão"/>
    <w:qFormat/>
    <w:rPr>
      <w:w w:val="100"/>
      <w:position w:val="0"/>
      <w:sz w:val="24"/>
      <w:sz w:val="24"/>
      <w:effect w:val="none"/>
      <w:vertAlign w:val="baseline"/>
      <w:em w:val="none"/>
    </w:rPr>
  </w:style>
  <w:style w:type="character" w:styleId="Fontepargpadro2">
    <w:name w:val="Fonte parág. padrão2"/>
    <w:qFormat/>
    <w:rPr>
      <w:w w:val="100"/>
      <w:position w:val="0"/>
      <w:sz w:val="24"/>
      <w:sz w:val="24"/>
      <w:effect w:val="none"/>
      <w:vertAlign w:val="baseline"/>
      <w:em w:val="none"/>
    </w:rPr>
  </w:style>
  <w:style w:type="character" w:styleId="Hyperlink">
    <w:name w:val="Hyperlink"/>
    <w:qFormat/>
    <w:rPr>
      <w:color w:val="000080"/>
      <w:w w:val="100"/>
      <w:position w:val="0"/>
      <w:sz w:val="24"/>
      <w:sz w:val="24"/>
      <w:u w:val="single"/>
      <w:effect w:val="none"/>
      <w:vertAlign w:val="baseline"/>
      <w:em w:val="none"/>
    </w:rPr>
  </w:style>
  <w:style w:type="character" w:styleId="Caracteresdenotaderodap">
    <w:name w:val="Caracteres de nota de rodapé"/>
    <w:qFormat/>
    <w:rPr>
      <w:w w:val="100"/>
      <w:position w:val="0"/>
      <w:sz w:val="16"/>
      <w:sz w:val="16"/>
      <w:effect w:val="none"/>
      <w:vertAlign w:val="baseline"/>
      <w:em w:val="none"/>
    </w:rPr>
  </w:style>
  <w:style w:type="character" w:styleId="Refdenotaderodap">
    <w:name w:val="Ref. de nota de rodapé"/>
    <w:qFormat/>
    <w:rPr>
      <w:w w:val="100"/>
      <w:position w:val="0"/>
      <w:sz w:val="16"/>
      <w:sz w:val="16"/>
      <w:effect w:val="none"/>
      <w:vertAlign w:val="baseline"/>
      <w:em w:val="none"/>
    </w:rPr>
  </w:style>
  <w:style w:type="character" w:styleId="Fontepargpadro1">
    <w:name w:val="Fonte parág. padrão1"/>
    <w:qFormat/>
    <w:rPr>
      <w:w w:val="100"/>
      <w:position w:val="0"/>
      <w:sz w:val="24"/>
      <w:sz w:val="24"/>
      <w:effect w:val="none"/>
      <w:vertAlign w:val="baseline"/>
      <w:em w:val="none"/>
    </w:rPr>
  </w:style>
  <w:style w:type="character" w:styleId="Emphasis">
    <w:name w:val="Emphasis"/>
    <w:qFormat/>
    <w:rPr>
      <w:i/>
      <w:iCs/>
      <w:w w:val="100"/>
      <w:position w:val="0"/>
      <w:sz w:val="24"/>
      <w:sz w:val="24"/>
      <w:effect w:val="none"/>
      <w:vertAlign w:val="baseline"/>
      <w:em w:val="none"/>
    </w:rPr>
  </w:style>
  <w:style w:type="character" w:styleId="Character20style">
    <w:name w:val="Character_20_style"/>
    <w:qFormat/>
    <w:rPr>
      <w:w w:val="100"/>
      <w:position w:val="0"/>
      <w:sz w:val="24"/>
      <w:sz w:val="24"/>
      <w:effect w:val="none"/>
      <w:vertAlign w:val="baseline"/>
      <w:em w:val="none"/>
    </w:rPr>
  </w:style>
  <w:style w:type="character" w:styleId="FollowedHyperlink">
    <w:name w:val="FollowedHyperlink"/>
    <w:qFormat/>
    <w:rPr>
      <w:color w:val="800000"/>
      <w:w w:val="100"/>
      <w:position w:val="0"/>
      <w:sz w:val="24"/>
      <w:sz w:val="24"/>
      <w:u w:val="single"/>
      <w:effect w:val="none"/>
      <w:vertAlign w:val="baseline"/>
      <w:em w:val="none"/>
    </w:rPr>
  </w:style>
  <w:style w:type="character" w:styleId="Smbolosdenumerao">
    <w:name w:val="Símbolos de numeração"/>
    <w:qFormat/>
    <w:rPr>
      <w:w w:val="100"/>
      <w:position w:val="0"/>
      <w:sz w:val="24"/>
      <w:sz w:val="24"/>
      <w:effect w:val="none"/>
      <w:vertAlign w:val="baseline"/>
      <w:em w:val="none"/>
    </w:rPr>
  </w:style>
  <w:style w:type="character" w:styleId="Refdenotaderodap1">
    <w:name w:val="Ref. de nota de rodapé1"/>
    <w:qFormat/>
    <w:rPr>
      <w:w w:val="100"/>
      <w:position w:val="0"/>
      <w:sz w:val="16"/>
      <w:sz w:val="16"/>
      <w:effect w:val="none"/>
      <w:vertAlign w:val="baseline"/>
      <w:em w:val="none"/>
    </w:rPr>
  </w:style>
  <w:style w:type="character" w:styleId="TextodebaloChar">
    <w:name w:val="Texto de balão Char"/>
    <w:qFormat/>
    <w:rPr>
      <w:rFonts w:ascii="Segoe UI" w:hAnsi="Segoe UI" w:eastAsia="Segoe UI" w:cs="Mangal"/>
      <w:w w:val="100"/>
      <w:position w:val="0"/>
      <w:sz w:val="18"/>
      <w:sz w:val="18"/>
      <w:szCs w:val="16"/>
      <w:effect w:val="none"/>
      <w:vertAlign w:val="baseline"/>
      <w:em w:val="none"/>
    </w:rPr>
  </w:style>
  <w:style w:type="character" w:styleId="WWCharLFO1LVL1">
    <w:name w:val="WW_CharLFO1LVL1"/>
    <w:qFormat/>
    <w:rPr>
      <w:rFonts w:ascii="Symbol" w:hAnsi="Symbol" w:cs="OpenSymbol"/>
      <w:color w:val="000000"/>
      <w:w w:val="100"/>
      <w:position w:val="0"/>
      <w:sz w:val="20"/>
      <w:sz w:val="20"/>
      <w:szCs w:val="20"/>
      <w:effect w:val="none"/>
      <w:vertAlign w:val="baseline"/>
      <w:em w:val="none"/>
    </w:rPr>
  </w:style>
  <w:style w:type="character" w:styleId="WWCharLFO1LVL2">
    <w:name w:val="WW_CharLFO1LVL2"/>
    <w:qFormat/>
    <w:rPr>
      <w:rFonts w:ascii="Symbol" w:hAnsi="Symbol" w:cs="OpenSymbol"/>
      <w:color w:val="000000"/>
      <w:w w:val="100"/>
      <w:position w:val="0"/>
      <w:sz w:val="20"/>
      <w:sz w:val="20"/>
      <w:szCs w:val="20"/>
      <w:effect w:val="none"/>
      <w:vertAlign w:val="baseline"/>
      <w:em w:val="none"/>
    </w:rPr>
  </w:style>
  <w:style w:type="character" w:styleId="WWCharLFO1LVL3">
    <w:name w:val="WW_CharLFO1LVL3"/>
    <w:qFormat/>
    <w:rPr>
      <w:rFonts w:ascii="Symbol" w:hAnsi="Symbol" w:cs="OpenSymbol"/>
      <w:color w:val="000000"/>
      <w:w w:val="100"/>
      <w:position w:val="0"/>
      <w:sz w:val="20"/>
      <w:sz w:val="20"/>
      <w:szCs w:val="20"/>
      <w:effect w:val="none"/>
      <w:vertAlign w:val="baseline"/>
      <w:em w:val="none"/>
    </w:rPr>
  </w:style>
  <w:style w:type="character" w:styleId="WWCharLFO1LVL4">
    <w:name w:val="WW_CharLFO1LVL4"/>
    <w:qFormat/>
    <w:rPr>
      <w:rFonts w:ascii="Symbol" w:hAnsi="Symbol" w:cs="OpenSymbol"/>
      <w:color w:val="000000"/>
      <w:w w:val="100"/>
      <w:position w:val="0"/>
      <w:sz w:val="20"/>
      <w:sz w:val="20"/>
      <w:szCs w:val="20"/>
      <w:effect w:val="none"/>
      <w:vertAlign w:val="baseline"/>
      <w:em w:val="none"/>
    </w:rPr>
  </w:style>
  <w:style w:type="character" w:styleId="WWCharLFO1LVL5">
    <w:name w:val="WW_CharLFO1LVL5"/>
    <w:qFormat/>
    <w:rPr>
      <w:rFonts w:ascii="Symbol" w:hAnsi="Symbol" w:cs="OpenSymbol"/>
      <w:color w:val="000000"/>
      <w:w w:val="100"/>
      <w:position w:val="0"/>
      <w:sz w:val="20"/>
      <w:sz w:val="20"/>
      <w:szCs w:val="20"/>
      <w:effect w:val="none"/>
      <w:vertAlign w:val="baseline"/>
      <w:em w:val="none"/>
    </w:rPr>
  </w:style>
  <w:style w:type="character" w:styleId="WWCharLFO1LVL6">
    <w:name w:val="WW_CharLFO1LVL6"/>
    <w:qFormat/>
    <w:rPr>
      <w:rFonts w:ascii="Symbol" w:hAnsi="Symbol" w:cs="OpenSymbol"/>
      <w:color w:val="000000"/>
      <w:w w:val="100"/>
      <w:position w:val="0"/>
      <w:sz w:val="20"/>
      <w:sz w:val="20"/>
      <w:szCs w:val="20"/>
      <w:effect w:val="none"/>
      <w:vertAlign w:val="baseline"/>
      <w:em w:val="none"/>
    </w:rPr>
  </w:style>
  <w:style w:type="character" w:styleId="WWCharLFO1LVL7">
    <w:name w:val="WW_CharLFO1LVL7"/>
    <w:qFormat/>
    <w:rPr>
      <w:rFonts w:ascii="Symbol" w:hAnsi="Symbol" w:cs="OpenSymbol"/>
      <w:color w:val="000000"/>
      <w:w w:val="100"/>
      <w:position w:val="0"/>
      <w:sz w:val="20"/>
      <w:sz w:val="20"/>
      <w:szCs w:val="20"/>
      <w:effect w:val="none"/>
      <w:vertAlign w:val="baseline"/>
      <w:em w:val="none"/>
    </w:rPr>
  </w:style>
  <w:style w:type="character" w:styleId="WWCharLFO1LVL8">
    <w:name w:val="WW_CharLFO1LVL8"/>
    <w:qFormat/>
    <w:rPr>
      <w:rFonts w:ascii="Symbol" w:hAnsi="Symbol" w:cs="OpenSymbol"/>
      <w:color w:val="000000"/>
      <w:w w:val="100"/>
      <w:position w:val="0"/>
      <w:sz w:val="20"/>
      <w:sz w:val="20"/>
      <w:szCs w:val="20"/>
      <w:effect w:val="none"/>
      <w:vertAlign w:val="baseline"/>
      <w:em w:val="none"/>
    </w:rPr>
  </w:style>
  <w:style w:type="character" w:styleId="WWCharLFO1LVL9">
    <w:name w:val="WW_CharLFO1LVL9"/>
    <w:qFormat/>
    <w:rPr>
      <w:rFonts w:ascii="Symbol" w:hAnsi="Symbol" w:cs="OpenSymbol"/>
      <w:color w:val="000000"/>
      <w:w w:val="100"/>
      <w:position w:val="0"/>
      <w:sz w:val="20"/>
      <w:sz w:val="20"/>
      <w:szCs w:val="20"/>
      <w:effect w:val="none"/>
      <w:vertAlign w:val="baseline"/>
      <w:em w:val="none"/>
    </w:rPr>
  </w:style>
  <w:style w:type="character" w:styleId="WWCharLFO2LVL1">
    <w:name w:val="WW_CharLFO2LVL1"/>
    <w:qFormat/>
    <w:rPr>
      <w:b/>
      <w:w w:val="100"/>
      <w:position w:val="0"/>
      <w:sz w:val="24"/>
      <w:sz w:val="24"/>
      <w:effect w:val="none"/>
      <w:vertAlign w:val="baseline"/>
      <w:em w:val="none"/>
    </w:rPr>
  </w:style>
  <w:style w:type="character" w:styleId="WWCharLFO2LVL2">
    <w:name w:val="WW_CharLFO2LVL2"/>
    <w:qFormat/>
    <w:rPr>
      <w:rFonts w:ascii="Arial" w:hAnsi="Arial" w:cs="Arial"/>
      <w:b/>
      <w:i w:val="false"/>
      <w:strike w:val="false"/>
      <w:dstrike w:val="false"/>
      <w:w w:val="100"/>
      <w:position w:val="0"/>
      <w:sz w:val="20"/>
      <w:sz w:val="20"/>
      <w:szCs w:val="20"/>
      <w:u w:val="none"/>
      <w:effect w:val="none"/>
      <w:vertAlign w:val="baseline"/>
      <w:em w:val="none"/>
    </w:rPr>
  </w:style>
  <w:style w:type="character" w:styleId="WWCharLFO2LVL3">
    <w:name w:val="WW_CharLFO2LVL3"/>
    <w:qFormat/>
    <w:rPr>
      <w:rFonts w:ascii="Arial" w:hAnsi="Arial" w:cs="Arial"/>
      <w:b/>
      <w:i w:val="false"/>
      <w:strike w:val="false"/>
      <w:dstrike w:val="false"/>
      <w:w w:val="100"/>
      <w:position w:val="0"/>
      <w:sz w:val="20"/>
      <w:sz w:val="20"/>
      <w:szCs w:val="20"/>
      <w:effect w:val="none"/>
      <w:vertAlign w:val="baseline"/>
      <w:em w:val="none"/>
    </w:rPr>
  </w:style>
  <w:style w:type="character" w:styleId="WWCharLFO3LVL1">
    <w:name w:val="WW_CharLFO3LVL1"/>
    <w:qFormat/>
    <w:rPr>
      <w:rFonts w:ascii="Symbol" w:hAnsi="Symbol" w:cs="OpenSymbol"/>
      <w:w w:val="100"/>
      <w:position w:val="0"/>
      <w:sz w:val="20"/>
      <w:sz w:val="20"/>
      <w:szCs w:val="20"/>
      <w:effect w:val="none"/>
      <w:vertAlign w:val="baseline"/>
      <w:em w:val="none"/>
    </w:rPr>
  </w:style>
  <w:style w:type="character" w:styleId="WWCharLFO4LVL1">
    <w:name w:val="WW_CharLFO4LVL1"/>
    <w:qFormat/>
    <w:rPr>
      <w:rFonts w:ascii="Arial" w:hAnsi="Arial" w:cs="Arial"/>
      <w:b/>
      <w:w w:val="100"/>
      <w:position w:val="0"/>
      <w:sz w:val="24"/>
      <w:sz w:val="24"/>
      <w:effect w:val="none"/>
      <w:vertAlign w:val="baseline"/>
      <w:em w:val="none"/>
    </w:rPr>
  </w:style>
  <w:style w:type="character" w:styleId="WWCharLFO4LVL2">
    <w:name w:val="WW_CharLFO4LVL2"/>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4LVL3">
    <w:name w:val="WW_CharLFO4LVL3"/>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8LVL1">
    <w:name w:val="WW_CharLFO8LVL1"/>
    <w:qFormat/>
    <w:rPr>
      <w:b/>
      <w:w w:val="100"/>
      <w:position w:val="0"/>
      <w:sz w:val="24"/>
      <w:sz w:val="24"/>
      <w:effect w:val="none"/>
      <w:vertAlign w:val="baseline"/>
      <w:em w:val="none"/>
    </w:rPr>
  </w:style>
  <w:style w:type="character" w:styleId="WWCharLFO8LVL2">
    <w:name w:val="WW_CharLFO8LVL2"/>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8LVL3">
    <w:name w:val="WW_CharLFO8LVL3"/>
    <w:qFormat/>
    <w:rPr>
      <w:b w:val="false"/>
      <w:i w:val="false"/>
      <w:strike w:val="false"/>
      <w:dstrike w:val="false"/>
      <w:w w:val="100"/>
      <w:position w:val="0"/>
      <w:sz w:val="20"/>
      <w:sz w:val="20"/>
      <w:szCs w:val="20"/>
      <w:effect w:val="none"/>
      <w:vertAlign w:val="baseline"/>
      <w:em w:val="none"/>
    </w:rPr>
  </w:style>
  <w:style w:type="character" w:styleId="WWCharLFO9LVL1">
    <w:name w:val="WW_CharLFO9LVL1"/>
    <w:qFormat/>
    <w:rPr>
      <w:b/>
      <w:w w:val="100"/>
      <w:position w:val="0"/>
      <w:sz w:val="24"/>
      <w:sz w:val="24"/>
      <w:effect w:val="none"/>
      <w:vertAlign w:val="baseline"/>
      <w:em w:val="none"/>
    </w:rPr>
  </w:style>
  <w:style w:type="character" w:styleId="WWCharLFO9LVL2">
    <w:name w:val="WW_CharLFO9LVL2"/>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9LVL3">
    <w:name w:val="WW_CharLFO9LVL3"/>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13LVL1">
    <w:name w:val="WW_CharLFO13LVL1"/>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13LVL2">
    <w:name w:val="WW_CharLFO13LVL2"/>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13LVL3">
    <w:name w:val="WW_CharLFO13LVL3"/>
    <w:qFormat/>
    <w:rPr>
      <w:b w:val="false"/>
      <w:i w:val="false"/>
      <w:w w:val="100"/>
      <w:position w:val="0"/>
      <w:sz w:val="24"/>
      <w:sz w:val="24"/>
      <w:effect w:val="none"/>
      <w:vertAlign w:val="baseline"/>
      <w:em w:val="none"/>
    </w:rPr>
  </w:style>
  <w:style w:type="character" w:styleId="WWCharLFO14LVL1">
    <w:name w:val="WW_CharLFO14LVL1"/>
    <w:qFormat/>
    <w:rPr>
      <w:b/>
      <w:w w:val="100"/>
      <w:position w:val="0"/>
      <w:sz w:val="24"/>
      <w:sz w:val="24"/>
      <w:effect w:val="none"/>
      <w:vertAlign w:val="baseline"/>
      <w:em w:val="none"/>
    </w:rPr>
  </w:style>
  <w:style w:type="character" w:styleId="WWCharLFO14LVL2">
    <w:name w:val="WW_CharLFO14LVL2"/>
    <w:qFormat/>
    <w:rPr>
      <w:b w:val="false"/>
      <w:i w:val="false"/>
      <w:strike w:val="false"/>
      <w:dstrike w:val="false"/>
      <w:w w:val="100"/>
      <w:position w:val="0"/>
      <w:sz w:val="24"/>
      <w:sz w:val="24"/>
      <w:effect w:val="none"/>
      <w:vertAlign w:val="baseline"/>
      <w:em w:val="none"/>
    </w:rPr>
  </w:style>
  <w:style w:type="character" w:styleId="WWCharLFO14LVL3">
    <w:name w:val="WW_CharLFO14LVL3"/>
    <w:qFormat/>
    <w:rPr>
      <w:b w:val="false"/>
      <w:i w:val="false"/>
      <w:w w:val="100"/>
      <w:position w:val="0"/>
      <w:sz w:val="24"/>
      <w:sz w:val="24"/>
      <w:effect w:val="none"/>
      <w:vertAlign w:val="baseline"/>
      <w:em w:val="none"/>
    </w:rPr>
  </w:style>
  <w:style w:type="character" w:styleId="TextodecomentrioChar">
    <w:name w:val="Texto de comentário Char"/>
    <w:qFormat/>
    <w:rPr>
      <w:w w:val="100"/>
      <w:position w:val="0"/>
      <w:sz w:val="20"/>
      <w:sz w:val="20"/>
      <w:szCs w:val="18"/>
      <w:effect w:val="none"/>
      <w:vertAlign w:val="baseline"/>
      <w:em w:val="none"/>
    </w:rPr>
  </w:style>
  <w:style w:type="character" w:styleId="Refdecomentrio1">
    <w:name w:val="Ref. de comentário1"/>
    <w:qFormat/>
    <w:rPr>
      <w:w w:val="100"/>
      <w:position w:val="0"/>
      <w:sz w:val="16"/>
      <w:sz w:val="16"/>
      <w:szCs w:val="16"/>
      <w:effect w:val="none"/>
      <w:vertAlign w:val="baseline"/>
      <w:em w:val="none"/>
    </w:rPr>
  </w:style>
  <w:style w:type="character" w:styleId="WWCharLFO43LVL1">
    <w:name w:val="WW_CharLFO43LVL1"/>
    <w:qFormat/>
    <w:rPr>
      <w:b/>
      <w:w w:val="100"/>
      <w:position w:val="0"/>
      <w:sz w:val="24"/>
      <w:sz w:val="24"/>
      <w:effect w:val="none"/>
      <w:vertAlign w:val="baseline"/>
      <w:em w:val="none"/>
    </w:rPr>
  </w:style>
  <w:style w:type="character" w:styleId="WWCharLFO29LVL1">
    <w:name w:val="WW_CharLFO29LVL1"/>
    <w:qFormat/>
    <w:rPr>
      <w:rFonts w:ascii="Symbol" w:hAnsi="Symbol" w:cs="Symbol"/>
      <w:w w:val="100"/>
      <w:position w:val="0"/>
      <w:sz w:val="24"/>
      <w:sz w:val="24"/>
      <w:effect w:val="none"/>
      <w:vertAlign w:val="baseline"/>
      <w:em w:val="none"/>
    </w:rPr>
  </w:style>
  <w:style w:type="character" w:styleId="WWCharLFO29LVL2">
    <w:name w:val="WW_CharLFO29LVL2"/>
    <w:qFormat/>
    <w:rPr>
      <w:rFonts w:ascii="Courier New" w:hAnsi="Courier New" w:cs="Courier New"/>
      <w:w w:val="100"/>
      <w:position w:val="0"/>
      <w:sz w:val="24"/>
      <w:sz w:val="24"/>
      <w:effect w:val="none"/>
      <w:vertAlign w:val="baseline"/>
      <w:em w:val="none"/>
    </w:rPr>
  </w:style>
  <w:style w:type="character" w:styleId="WWCharLFO29LVL3">
    <w:name w:val="WW_CharLFO29LVL3"/>
    <w:qFormat/>
    <w:rPr>
      <w:rFonts w:ascii="Wingdings" w:hAnsi="Wingdings" w:cs="Wingdings"/>
      <w:w w:val="100"/>
      <w:position w:val="0"/>
      <w:sz w:val="24"/>
      <w:sz w:val="24"/>
      <w:effect w:val="none"/>
      <w:vertAlign w:val="baseline"/>
      <w:em w:val="none"/>
    </w:rPr>
  </w:style>
  <w:style w:type="character" w:styleId="WWCharLFO30LVL1">
    <w:name w:val="WW_CharLFO30LVL1"/>
    <w:qFormat/>
    <w:rPr>
      <w:rFonts w:ascii="Tahoma" w:hAnsi="Tahoma" w:cs="Tahoma"/>
      <w:b/>
      <w:i w:val="false"/>
      <w:w w:val="100"/>
      <w:position w:val="0"/>
      <w:sz w:val="24"/>
      <w:sz w:val="24"/>
      <w:effect w:val="none"/>
      <w:vertAlign w:val="baseline"/>
      <w:em w:val="none"/>
    </w:rPr>
  </w:style>
  <w:style w:type="character" w:styleId="WWCharLFO35LVL1">
    <w:name w:val="WW_CharLFO35LVL1"/>
    <w:qFormat/>
    <w:rPr>
      <w:b/>
      <w:bCs/>
      <w:w w:val="100"/>
      <w:position w:val="0"/>
      <w:sz w:val="24"/>
      <w:sz w:val="24"/>
      <w:effect w:val="none"/>
      <w:vertAlign w:val="baseline"/>
      <w:em w:val="none"/>
    </w:rPr>
  </w:style>
  <w:style w:type="character" w:styleId="WWCharLFO38LVL1">
    <w:name w:val="WW_CharLFO38LVL1"/>
    <w:qFormat/>
    <w:rPr>
      <w:rFonts w:ascii="Tahoma" w:hAnsi="Tahoma" w:cs="Tahoma"/>
      <w:b/>
      <w:i w:val="false"/>
      <w:w w:val="100"/>
      <w:position w:val="0"/>
      <w:sz w:val="24"/>
      <w:sz w:val="24"/>
      <w:effect w:val="none"/>
      <w:vertAlign w:val="baseline"/>
      <w:em w:val="none"/>
    </w:rPr>
  </w:style>
  <w:style w:type="character" w:styleId="WWCharLFO40LVL1">
    <w:name w:val="WW_CharLFO40LVL1"/>
    <w:qFormat/>
    <w:rPr>
      <w:rFonts w:ascii="Arial" w:hAnsi="Arial" w:cs="Symbol"/>
      <w:w w:val="100"/>
      <w:position w:val="0"/>
      <w:sz w:val="20"/>
      <w:sz w:val="20"/>
      <w:effect w:val="none"/>
      <w:vertAlign w:val="baseline"/>
      <w:em w:val="none"/>
    </w:rPr>
  </w:style>
  <w:style w:type="character" w:styleId="WWCharLFO40LVL2">
    <w:name w:val="WW_CharLFO40LVL2"/>
    <w:qFormat/>
    <w:rPr>
      <w:rFonts w:ascii="Courier New" w:hAnsi="Courier New" w:cs="Courier New"/>
      <w:w w:val="100"/>
      <w:position w:val="0"/>
      <w:sz w:val="20"/>
      <w:sz w:val="20"/>
      <w:effect w:val="none"/>
      <w:vertAlign w:val="baseline"/>
      <w:em w:val="none"/>
    </w:rPr>
  </w:style>
  <w:style w:type="character" w:styleId="WWCharLFO40LVL3">
    <w:name w:val="WW_CharLFO40LVL3"/>
    <w:qFormat/>
    <w:rPr>
      <w:rFonts w:ascii="Wingdings" w:hAnsi="Wingdings" w:cs="Wingdings"/>
      <w:w w:val="100"/>
      <w:position w:val="0"/>
      <w:sz w:val="20"/>
      <w:sz w:val="20"/>
      <w:effect w:val="none"/>
      <w:vertAlign w:val="baseline"/>
      <w:em w:val="none"/>
    </w:rPr>
  </w:style>
  <w:style w:type="paragraph" w:styleId="Ttulo">
    <w:name w:val="Título"/>
    <w:basedOn w:val="Normal1"/>
    <w:next w:val="Titre"/>
    <w:qFormat/>
    <w:pPr>
      <w:keepNext w:val="true"/>
      <w:widowControl/>
      <w:suppressAutoHyphens w:val="false"/>
      <w:overflowPunct w:val="true"/>
      <w:bidi w:val="0"/>
      <w:spacing w:lineRule="atLeast" w:line="1" w:before="240" w:after="120"/>
      <w:textAlignment w:val="baseline"/>
      <w:outlineLvl w:val="0"/>
    </w:pPr>
    <w:rPr>
      <w:rFonts w:ascii="Liberation Sans" w:hAnsi="Liberation Sans" w:eastAsia="Microsoft YaHei" w:cs="Arial"/>
      <w:w w:val="100"/>
      <w:kern w:val="2"/>
      <w:position w:val="-1"/>
      <w:sz w:val="28"/>
      <w:szCs w:val="28"/>
      <w:effect w:val="none"/>
      <w:em w:val="none"/>
      <w:lang w:val="pt-BR" w:eastAsia="zh-CN" w:bidi="hi-IN"/>
    </w:rPr>
  </w:style>
  <w:style w:type="paragraph" w:styleId="BodyText">
    <w:name w:val="Body Text"/>
    <w:basedOn w:val="Normal1"/>
    <w:next w:val="Titre"/>
    <w:qFormat/>
    <w:pPr>
      <w:widowControl/>
      <w:suppressAutoHyphens w:val="false"/>
      <w:overflowPunct w:val="true"/>
      <w:bidi w:val="0"/>
      <w:spacing w:lineRule="auto" w:line="276" w:before="0" w:after="140"/>
      <w:textAlignment w:val="baseline"/>
      <w:outlineLvl w:val="0"/>
    </w:pPr>
    <w:rPr>
      <w:rFonts w:ascii="Liberation Serif" w:hAnsi="Liberation Serif" w:eastAsia="NSimSun" w:cs="Arial"/>
      <w:w w:val="100"/>
      <w:kern w:val="2"/>
      <w:sz w:val="24"/>
      <w:szCs w:val="24"/>
      <w:effect w:val="none"/>
      <w:vertAlign w:val="subscript"/>
      <w:em w:val="none"/>
      <w:lang w:val="pt-BR" w:eastAsia="zh-CN" w:bidi="hi-IN"/>
    </w:rPr>
  </w:style>
  <w:style w:type="paragraph" w:styleId="List">
    <w:name w:val="List"/>
    <w:basedOn w:val="Titre"/>
    <w:next w:val="Contedodatabela"/>
    <w:qFormat/>
    <w:pPr>
      <w:keepNext w:val="true"/>
      <w:widowControl/>
      <w:shd w:val="clear" w:color="auto" w:fill="FFFFFF"/>
      <w:suppressAutoHyphens w:val="false"/>
      <w:overflowPunct w:val="true"/>
      <w:bidi w:val="0"/>
      <w:spacing w:lineRule="atLeast" w:line="1" w:before="240" w:after="120"/>
      <w:textAlignment w:val="baseline"/>
    </w:pPr>
    <w:rPr>
      <w:rFonts w:ascii="Arial" w:hAnsi="Arial" w:eastAsia="Microsoft YaHei" w:cs="Mangal"/>
      <w:w w:val="100"/>
      <w:kern w:val="2"/>
      <w:position w:val="-1"/>
      <w:sz w:val="28"/>
      <w:szCs w:val="28"/>
      <w:effect w:val="none"/>
      <w:em w:val="none"/>
      <w:lang w:val="pt-BR" w:eastAsia="zh-CN" w:bidi="hi-IN"/>
    </w:rPr>
  </w:style>
  <w:style w:type="paragraph" w:styleId="Caption">
    <w:name w:val="Caption"/>
    <w:basedOn w:val="Normal1"/>
    <w:next w:val="Citao2"/>
    <w:qFormat/>
    <w:pPr>
      <w:widowControl/>
      <w:suppressLineNumbers/>
      <w:suppressAutoHyphens w:val="false"/>
      <w:overflowPunct w:val="true"/>
      <w:bidi w:val="0"/>
      <w:spacing w:lineRule="atLeast" w:line="1" w:before="120" w:after="120"/>
      <w:textAlignment w:val="baseline"/>
      <w:outlineLvl w:val="0"/>
    </w:pPr>
    <w:rPr>
      <w:rFonts w:ascii="Liberation Serif" w:hAnsi="Liberation Serif" w:eastAsia="NSimSun" w:cs="Arial"/>
      <w:i/>
      <w:iCs/>
      <w:w w:val="100"/>
      <w:kern w:val="2"/>
      <w:position w:val="-1"/>
      <w:sz w:val="24"/>
      <w:szCs w:val="24"/>
      <w:effect w:val="none"/>
      <w:em w:val="none"/>
      <w:lang w:val="pt-BR" w:eastAsia="zh-CN" w:bidi="hi-IN"/>
    </w:rPr>
  </w:style>
  <w:style w:type="paragraph" w:styleId="Ndice">
    <w:name w:val="Índice"/>
    <w:basedOn w:val="Normal1"/>
    <w:next w:val="PargrafodaLista"/>
    <w:qFormat/>
    <w:pPr>
      <w:widowControl/>
      <w:suppressLineNumbers/>
      <w:suppressAutoHyphens w:val="false"/>
      <w:overflowPunct w:val="true"/>
      <w:bidi w:val="0"/>
      <w:spacing w:lineRule="atLeast" w:line="1"/>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ivel01">
    <w:name w:val="Nivel 01"/>
    <w:basedOn w:val="Heading1"/>
    <w:next w:val="Normal1"/>
    <w:qFormat/>
    <w:pPr>
      <w:keepNext w:val="true"/>
      <w:keepLines/>
      <w:widowControl/>
      <w:numPr>
        <w:ilvl w:val="0"/>
        <w:numId w:val="0"/>
      </w:numPr>
      <w:tabs>
        <w:tab w:val="clear" w:pos="720"/>
        <w:tab w:val="left" w:pos="567" w:leader="none"/>
      </w:tabs>
      <w:suppressAutoHyphens w:val="false"/>
      <w:overflowPunct w:val="true"/>
      <w:bidi w:val="0"/>
      <w:spacing w:lineRule="atLeast" w:line="1" w:before="240" w:after="0"/>
      <w:ind w:hanging="0" w:left="0" w:right="0"/>
      <w:jc w:val="both"/>
      <w:textAlignment w:val="baseline"/>
      <w:outlineLvl w:val="9"/>
    </w:pPr>
    <w:rPr>
      <w:rFonts w:ascii="Ecofont_Spranq_eco_Sans" w:hAnsi="Ecofont_Spranq_eco_Sans" w:eastAsia="Ecofont_Spranq_eco_Sans" w:cs="Times New Roman"/>
      <w:b/>
      <w:bCs/>
      <w:color w:val="000000"/>
      <w:w w:val="100"/>
      <w:kern w:val="2"/>
      <w:position w:val="-1"/>
      <w:sz w:val="20"/>
      <w:szCs w:val="20"/>
      <w:effect w:val="none"/>
      <w:em w:val="none"/>
      <w:lang w:val="pt-BR" w:eastAsia="zh-CN" w:bidi="hi-IN"/>
    </w:rPr>
  </w:style>
  <w:style w:type="paragraph" w:styleId="Titre">
    <w:name w:val="Titre"/>
    <w:basedOn w:val="Normal1"/>
    <w:next w:val="Normal11"/>
    <w:qFormat/>
    <w:pPr>
      <w:keepNext w:val="true"/>
      <w:widowControl/>
      <w:shd w:val="clear" w:color="auto" w:fill="FFFFFF"/>
      <w:suppressAutoHyphens w:val="false"/>
      <w:overflowPunct w:val="true"/>
      <w:bidi w:val="0"/>
      <w:spacing w:lineRule="atLeast" w:line="1" w:before="240" w:after="120"/>
      <w:textAlignment w:val="baseline"/>
      <w:outlineLvl w:val="0"/>
    </w:pPr>
    <w:rPr>
      <w:rFonts w:ascii="Arial" w:hAnsi="Arial" w:eastAsia="Microsoft YaHei" w:cs="Mangal"/>
      <w:w w:val="100"/>
      <w:kern w:val="2"/>
      <w:position w:val="-1"/>
      <w:sz w:val="28"/>
      <w:szCs w:val="28"/>
      <w:effect w:val="none"/>
      <w:em w:val="none"/>
      <w:lang w:val="pt-BR" w:eastAsia="zh-CN" w:bidi="hi-IN"/>
    </w:rPr>
  </w:style>
  <w:style w:type="paragraph" w:styleId="Ttulo1">
    <w:name w:val="Título1"/>
    <w:basedOn w:val="Normal1"/>
    <w:next w:val="Titre"/>
    <w:qFormat/>
    <w:pPr>
      <w:keepNext w:val="true"/>
      <w:widowControl/>
      <w:suppressAutoHyphens w:val="false"/>
      <w:overflowPunct w:val="true"/>
      <w:bidi w:val="0"/>
      <w:spacing w:lineRule="atLeast" w:line="1" w:before="240" w:after="120"/>
      <w:textAlignment w:val="baseline"/>
      <w:outlineLvl w:val="0"/>
    </w:pPr>
    <w:rPr>
      <w:rFonts w:ascii="Liberation Sans" w:hAnsi="Liberation Sans" w:eastAsia="Microsoft YaHei" w:cs="Liberation Sans"/>
      <w:w w:val="100"/>
      <w:kern w:val="2"/>
      <w:position w:val="-1"/>
      <w:sz w:val="28"/>
      <w:szCs w:val="28"/>
      <w:effect w:val="none"/>
      <w:em w:val="none"/>
      <w:lang w:val="pt-BR" w:eastAsia="zh-CN" w:bidi="hi-IN"/>
    </w:rPr>
  </w:style>
  <w:style w:type="paragraph" w:styleId="LO-Normal1">
    <w:name w:val="LO-Normal1"/>
    <w:next w:val="Estiloaa"/>
    <w:qFormat/>
    <w:pPr>
      <w:widowControl/>
      <w:suppressAutoHyphens w:val="false"/>
      <w:overflowPunct w:val="true"/>
      <w:bidi w:val="0"/>
      <w:spacing w:lineRule="atLeast" w:line="1" w:before="0" w:after="0"/>
      <w:jc w:val="left"/>
      <w:textAlignment w:val="baseline"/>
      <w:outlineLvl w:val="0"/>
    </w:pPr>
    <w:rPr>
      <w:rFonts w:ascii="Liberation Serif" w:hAnsi="Liberation Serif" w:eastAsia="NSimSun" w:cs="Arial"/>
      <w:color w:val="auto"/>
      <w:w w:val="100"/>
      <w:kern w:val="2"/>
      <w:position w:val="-1"/>
      <w:sz w:val="24"/>
      <w:szCs w:val="24"/>
      <w:effect w:val="none"/>
      <w:em w:val="none"/>
      <w:lang w:val="pt-BR" w:eastAsia="zh-CN" w:bidi="hi-IN"/>
    </w:rPr>
  </w:style>
  <w:style w:type="paragraph" w:styleId="Citao">
    <w:name w:val="Citação"/>
    <w:basedOn w:val="Normal1"/>
    <w:next w:val="Normal1"/>
    <w:qFormat/>
    <w:pPr>
      <w:widowControl/>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bidi w:val="0"/>
      <w:spacing w:lineRule="atLeast" w:line="1" w:before="120" w:after="0"/>
      <w:jc w:val="both"/>
      <w:textAlignment w:val="baseline"/>
      <w:outlineLvl w:val="0"/>
    </w:pPr>
    <w:rPr>
      <w:rFonts w:ascii="Arial" w:hAnsi="Arial" w:eastAsia="Calibri" w:cs="Arial"/>
      <w:i/>
      <w:iCs/>
      <w:color w:val="000000"/>
      <w:w w:val="100"/>
      <w:kern w:val="2"/>
      <w:position w:val="-1"/>
      <w:sz w:val="20"/>
      <w:szCs w:val="24"/>
      <w:effect w:val="none"/>
      <w:em w:val="none"/>
      <w:lang w:val="pt-BR" w:eastAsia="zh-CN" w:bidi="hi-IN"/>
    </w:rPr>
  </w:style>
  <w:style w:type="paragraph" w:styleId="CabealhoeRodap">
    <w:name w:val="Cabeçalho e Rodapé"/>
    <w:basedOn w:val="Normal1"/>
    <w:next w:val="LO-Normal"/>
    <w:qFormat/>
    <w:pPr>
      <w:widowControl/>
      <w:suppressLineNumbers/>
      <w:tabs>
        <w:tab w:val="clear" w:pos="720"/>
        <w:tab w:val="center" w:pos="4819" w:leader="none"/>
        <w:tab w:val="right" w:pos="9638" w:leader="none"/>
      </w:tabs>
      <w:suppressAutoHyphens w:val="false"/>
      <w:overflowPunct w:val="true"/>
      <w:bidi w:val="0"/>
      <w:spacing w:lineRule="atLeast" w:line="1"/>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FootnoteText">
    <w:name w:val="Footnote Text"/>
    <w:basedOn w:val="Normal1"/>
    <w:next w:val="TableParagraph"/>
    <w:qFormat/>
    <w:pPr>
      <w:widowControl/>
      <w:suppressLineNumbers/>
      <w:suppressAutoHyphens w:val="false"/>
      <w:overflowPunct w:val="true"/>
      <w:bidi w:val="0"/>
      <w:spacing w:lineRule="atLeast" w:line="1"/>
      <w:ind w:hanging="339" w:left="339" w:right="0"/>
      <w:textAlignment w:val="baseline"/>
      <w:outlineLvl w:val="0"/>
    </w:pPr>
    <w:rPr>
      <w:rFonts w:ascii="Liberation Serif" w:hAnsi="Liberation Serif" w:eastAsia="NSimSun" w:cs="Arial"/>
      <w:w w:val="100"/>
      <w:kern w:val="2"/>
      <w:position w:val="-1"/>
      <w:sz w:val="20"/>
      <w:szCs w:val="20"/>
      <w:effect w:val="none"/>
      <w:em w:val="none"/>
      <w:lang w:val="pt-BR" w:eastAsia="zh-CN" w:bidi="hi-IN"/>
    </w:rPr>
  </w:style>
  <w:style w:type="paragraph" w:styleId="Header">
    <w:name w:val="Header"/>
    <w:basedOn w:val="FootnoteText"/>
    <w:next w:val="Contedodetabela"/>
    <w:qFormat/>
    <w:pPr>
      <w:widowControl/>
      <w:suppressLineNumbers/>
      <w:suppressAutoHyphens w:val="false"/>
      <w:overflowPunct w:val="true"/>
      <w:bidi w:val="0"/>
      <w:spacing w:lineRule="atLeast" w:line="1"/>
      <w:ind w:hanging="339" w:left="339" w:right="0"/>
      <w:textAlignment w:val="baseline"/>
    </w:pPr>
    <w:rPr>
      <w:rFonts w:ascii="Liberation Serif" w:hAnsi="Liberation Serif" w:eastAsia="NSimSun" w:cs="Arial"/>
      <w:w w:val="100"/>
      <w:kern w:val="2"/>
      <w:position w:val="-1"/>
      <w:sz w:val="20"/>
      <w:szCs w:val="20"/>
      <w:effect w:val="none"/>
      <w:em w:val="none"/>
      <w:lang w:val="pt-BR" w:eastAsia="zh-CN" w:bidi="hi-IN"/>
    </w:rPr>
  </w:style>
  <w:style w:type="paragraph" w:styleId="Footer">
    <w:name w:val="Footer"/>
    <w:basedOn w:val="FootnoteText"/>
    <w:next w:val="Nivel1"/>
    <w:qFormat/>
    <w:pPr>
      <w:widowControl/>
      <w:suppressLineNumbers/>
      <w:suppressAutoHyphens w:val="false"/>
      <w:overflowPunct w:val="true"/>
      <w:bidi w:val="0"/>
      <w:spacing w:lineRule="atLeast" w:line="1"/>
      <w:ind w:hanging="339" w:left="339" w:right="0"/>
      <w:textAlignment w:val="baseline"/>
    </w:pPr>
    <w:rPr>
      <w:rFonts w:ascii="Liberation Serif" w:hAnsi="Liberation Serif" w:eastAsia="NSimSun" w:cs="Arial"/>
      <w:w w:val="100"/>
      <w:kern w:val="2"/>
      <w:position w:val="-1"/>
      <w:sz w:val="20"/>
      <w:szCs w:val="20"/>
      <w:effect w:val="none"/>
      <w:em w:val="none"/>
      <w:lang w:val="pt-BR" w:eastAsia="zh-CN" w:bidi="hi-IN"/>
    </w:rPr>
  </w:style>
  <w:style w:type="paragraph" w:styleId="Western">
    <w:name w:val="western"/>
    <w:basedOn w:val="Normal1"/>
    <w:next w:val="Ttulodetabela"/>
    <w:qFormat/>
    <w:pPr>
      <w:widowControl/>
      <w:shd w:val="clear" w:color="auto" w:fill="FFFFFF"/>
      <w:suppressAutoHyphens w:val="false"/>
      <w:overflowPunct w:val="true"/>
      <w:bidi w:val="0"/>
      <w:spacing w:lineRule="atLeast" w:line="1" w:before="280" w:after="119"/>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H3">
    <w:name w:val="H3"/>
    <w:basedOn w:val="Normal1"/>
    <w:next w:val="Normal1"/>
    <w:qFormat/>
    <w:pPr>
      <w:keepNext w:val="true"/>
      <w:widowControl/>
      <w:shd w:val="clear" w:color="auto" w:fill="FFFFFF"/>
      <w:suppressAutoHyphens w:val="false"/>
      <w:overflowPunct w:val="true"/>
      <w:bidi w:val="0"/>
      <w:spacing w:lineRule="atLeast" w:line="1" w:before="100" w:after="100"/>
      <w:textAlignment w:val="baseline"/>
      <w:outlineLvl w:val="0"/>
    </w:pPr>
    <w:rPr>
      <w:rFonts w:ascii="Liberation Serif" w:hAnsi="Liberation Serif" w:eastAsia="NSimSun" w:cs="Arial"/>
      <w:b/>
      <w:w w:val="100"/>
      <w:kern w:val="2"/>
      <w:position w:val="-1"/>
      <w:sz w:val="28"/>
      <w:szCs w:val="24"/>
      <w:effect w:val="none"/>
      <w:em w:val="none"/>
      <w:lang w:val="pt-BR" w:eastAsia="zh-CN" w:bidi="hi-IN"/>
    </w:rPr>
  </w:style>
  <w:style w:type="paragraph" w:styleId="WW-Standard">
    <w:name w:val="WW-Standard"/>
    <w:next w:val="Textodebalo"/>
    <w:qFormat/>
    <w:pPr>
      <w:widowControl/>
      <w:suppressAutoHyphens w:val="false"/>
      <w:overflowPunct w:val="true"/>
      <w:bidi w:val="0"/>
      <w:spacing w:lineRule="auto" w:line="276" w:before="0" w:after="200"/>
      <w:jc w:val="left"/>
      <w:textAlignment w:val="baseline"/>
      <w:outlineLvl w:val="0"/>
    </w:pPr>
    <w:rPr>
      <w:rFonts w:ascii="Calibri" w:hAnsi="Calibri" w:eastAsia="Calibri" w:cs="Calibri"/>
      <w:color w:val="auto"/>
      <w:w w:val="100"/>
      <w:kern w:val="2"/>
      <w:position w:val="-1"/>
      <w:sz w:val="22"/>
      <w:szCs w:val="22"/>
      <w:effect w:val="none"/>
      <w:em w:val="none"/>
      <w:lang w:val="pt-BR" w:eastAsia="zh-CN" w:bidi="ar-SA"/>
    </w:rPr>
  </w:style>
  <w:style w:type="paragraph" w:styleId="WW-Padro">
    <w:name w:val="WW-Padrão"/>
    <w:next w:val="Textodecomentrio2"/>
    <w:qFormat/>
    <w:pPr>
      <w:widowControl w:val="false"/>
      <w:suppressAutoHyphens w:val="false"/>
      <w:overflowPunct w:val="true"/>
      <w:bidi w:val="0"/>
      <w:spacing w:lineRule="atLeast" w:line="1" w:before="0" w:after="0"/>
      <w:jc w:val="both"/>
      <w:textAlignment w:val="baseline"/>
      <w:outlineLvl w:val="0"/>
    </w:pPr>
    <w:rPr>
      <w:rFonts w:ascii="Times New Roman" w:hAnsi="Times New Roman" w:eastAsia="Bitstream Vera Sans" w:cs="Bitstream Vera Sans"/>
      <w:color w:val="auto"/>
      <w:w w:val="100"/>
      <w:kern w:val="2"/>
      <w:position w:val="-1"/>
      <w:sz w:val="24"/>
      <w:szCs w:val="24"/>
      <w:effect w:val="none"/>
      <w:em w:val="none"/>
      <w:lang w:val="pt-BR" w:eastAsia="zh-CN" w:bidi="hi-IN"/>
    </w:rPr>
  </w:style>
  <w:style w:type="paragraph" w:styleId="Titredetableau">
    <w:name w:val="Titre de tableau"/>
    <w:next w:val="Textodecomentrio2"/>
    <w:qFormat/>
    <w:pPr>
      <w:widowControl w:val="false"/>
      <w:suppressLineNumbers/>
      <w:suppressAutoHyphens w:val="false"/>
      <w:overflowPunct w:val="true"/>
      <w:bidi w:val="0"/>
      <w:spacing w:lineRule="atLeast" w:line="1" w:before="0" w:after="0"/>
      <w:jc w:val="center"/>
      <w:textAlignment w:val="baseline"/>
      <w:outlineLvl w:val="0"/>
    </w:pPr>
    <w:rPr>
      <w:rFonts w:ascii="Liberation Serif" w:hAnsi="Liberation Serif" w:eastAsia="NSimSun" w:cs="Arial"/>
      <w:b/>
      <w:bCs/>
      <w:color w:val="auto"/>
      <w:w w:val="100"/>
      <w:kern w:val="2"/>
      <w:position w:val="-1"/>
      <w:sz w:val="24"/>
      <w:szCs w:val="24"/>
      <w:effect w:val="none"/>
      <w:em w:val="none"/>
      <w:lang w:val="pt-BR" w:eastAsia="zh-CN" w:bidi="hi-IN"/>
    </w:rPr>
  </w:style>
  <w:style w:type="paragraph" w:styleId="WW-Corpodetexto2">
    <w:name w:val="WW-Corpo de texto 2"/>
    <w:basedOn w:val="Normal1"/>
    <w:next w:val="TextosemFormatao1"/>
    <w:qFormat/>
    <w:pPr>
      <w:widowControl/>
      <w:shd w:val="clear" w:color="auto" w:fill="FFFFFF"/>
      <w:suppressAutoHyphens w:val="false"/>
      <w:overflowPunct w:val="true"/>
      <w:bidi w:val="0"/>
      <w:spacing w:lineRule="auto" w:line="300"/>
      <w:jc w:val="both"/>
      <w:textAlignment w:val="baseline"/>
      <w:outlineLvl w:val="0"/>
    </w:pPr>
    <w:rPr>
      <w:rFonts w:ascii="Verdana" w:hAnsi="Verdana" w:eastAsia="Verdana" w:cs="Verdana"/>
      <w:b/>
      <w:w w:val="100"/>
      <w:kern w:val="2"/>
      <w:position w:val="-1"/>
      <w:sz w:val="24"/>
      <w:szCs w:val="24"/>
      <w:effect w:val="none"/>
      <w:em w:val="none"/>
      <w:lang w:val="pt-BR" w:eastAsia="zh-CN" w:bidi="hi-IN"/>
    </w:rPr>
  </w:style>
  <w:style w:type="paragraph" w:styleId="Contedodatabela">
    <w:name w:val="Conteúdo da tabela"/>
    <w:basedOn w:val="Normal1"/>
    <w:next w:val="Standard"/>
    <w:qFormat/>
    <w:pPr>
      <w:widowControl/>
      <w:suppressLineNumbers/>
      <w:suppressAutoHyphens w:val="false"/>
      <w:overflowPunct w:val="true"/>
      <w:bidi w:val="0"/>
      <w:spacing w:lineRule="atLeast" w:line="1"/>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BodyTextIndent">
    <w:name w:val="Body Text Indent"/>
    <w:basedOn w:val="Titre"/>
    <w:next w:val="Textodecomentrio1"/>
    <w:qFormat/>
    <w:pPr>
      <w:keepNext w:val="true"/>
      <w:widowControl/>
      <w:shd w:val="clear" w:color="auto" w:fill="FFFFFF"/>
      <w:suppressAutoHyphens w:val="false"/>
      <w:overflowPunct w:val="true"/>
      <w:bidi w:val="0"/>
      <w:spacing w:lineRule="atLeast" w:line="1" w:before="0" w:after="0"/>
      <w:ind w:hanging="0" w:left="283" w:right="0"/>
      <w:textAlignment w:val="baseline"/>
    </w:pPr>
    <w:rPr>
      <w:rFonts w:ascii="Arial" w:hAnsi="Arial" w:eastAsia="Microsoft YaHei" w:cs="Mangal"/>
      <w:w w:val="100"/>
      <w:kern w:val="2"/>
      <w:position w:val="-1"/>
      <w:sz w:val="28"/>
      <w:szCs w:val="28"/>
      <w:effect w:val="none"/>
      <w:em w:val="none"/>
      <w:lang w:val="pt-BR" w:eastAsia="zh-CN" w:bidi="hi-IN"/>
    </w:rPr>
  </w:style>
  <w:style w:type="paragraph" w:styleId="Citao2">
    <w:name w:val="citação 2"/>
    <w:basedOn w:val="BodyTextIndent"/>
    <w:next w:val="Padro"/>
    <w:qFormat/>
    <w:pPr>
      <w:keepNext w:val="true"/>
      <w:widowControl/>
      <w:shd w:val="clear" w:color="auto" w:fill="FFFFCC"/>
      <w:suppressAutoHyphens w:val="false"/>
      <w:overflowPunct w:val="true"/>
      <w:bidi w:val="0"/>
      <w:spacing w:lineRule="atLeast" w:line="1" w:before="0" w:after="0"/>
      <w:ind w:hanging="0" w:left="283" w:right="0"/>
      <w:textAlignment w:val="baseline"/>
    </w:pPr>
    <w:rPr>
      <w:rFonts w:ascii="Arial" w:hAnsi="Arial" w:eastAsia="Microsoft YaHei" w:cs="Mangal"/>
      <w:w w:val="100"/>
      <w:kern w:val="2"/>
      <w:position w:val="-1"/>
      <w:sz w:val="28"/>
      <w:szCs w:val="20"/>
      <w:effect w:val="none"/>
      <w:em w:val="none"/>
      <w:lang w:val="pt-BR" w:eastAsia="zh-CN" w:bidi="hi-IN"/>
    </w:rPr>
  </w:style>
  <w:style w:type="paragraph" w:styleId="PargrafodaLista">
    <w:name w:val="Parágrafo da Lista"/>
    <w:basedOn w:val="Normal1"/>
    <w:next w:val="Recuodecorpodetexto21"/>
    <w:qFormat/>
    <w:pPr>
      <w:widowControl/>
      <w:suppressAutoHyphens w:val="false"/>
      <w:overflowPunct w:val="true"/>
      <w:bidi w:val="0"/>
      <w:spacing w:lineRule="atLeast" w:line="1"/>
      <w:ind w:hanging="0" w:left="720" w:right="0"/>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Estiloaa">
    <w:name w:val="Estiloaa"/>
    <w:next w:val="NormalWeb"/>
    <w:qFormat/>
    <w:pPr>
      <w:widowControl w:val="false"/>
      <w:tabs>
        <w:tab w:val="left" w:pos="720" w:leader="none"/>
      </w:tabs>
      <w:suppressAutoHyphens w:val="false"/>
      <w:overflowPunct w:val="true"/>
      <w:bidi w:val="0"/>
      <w:spacing w:lineRule="atLeast" w:line="1" w:before="240" w:after="0"/>
      <w:jc w:val="both"/>
      <w:textAlignment w:val="baseline"/>
      <w:outlineLvl w:val="0"/>
    </w:pPr>
    <w:rPr>
      <w:rFonts w:ascii="Arial" w:hAnsi="Arial" w:eastAsia="Arial" w:cs="Arial"/>
      <w:color w:val="auto"/>
      <w:w w:val="100"/>
      <w:kern w:val="2"/>
      <w:position w:val="-1"/>
      <w:sz w:val="24"/>
      <w:szCs w:val="20"/>
      <w:effect w:val="none"/>
      <w:em w:val="none"/>
      <w:lang w:val="pt-BR" w:eastAsia="zh-CN" w:bidi="ar-SA"/>
    </w:rPr>
  </w:style>
  <w:style w:type="paragraph" w:styleId="LO-Normal">
    <w:name w:val="LO-Normal"/>
    <w:qFormat/>
    <w:pPr>
      <w:widowControl w:val="false"/>
      <w:suppressAutoHyphens w:val="false"/>
      <w:overflowPunct w:val="true"/>
      <w:bidi w:val="0"/>
      <w:spacing w:lineRule="atLeast" w:line="1" w:before="0" w:after="0"/>
      <w:jc w:val="left"/>
      <w:textAlignment w:val="baseline"/>
      <w:outlineLvl w:val="0"/>
    </w:pPr>
    <w:rPr>
      <w:rFonts w:ascii="Myriad Pro" w:hAnsi="Myriad Pro" w:eastAsia="SimSun" w:cs="Mangal"/>
      <w:color w:val="auto"/>
      <w:w w:val="100"/>
      <w:kern w:val="2"/>
      <w:position w:val="-1"/>
      <w:sz w:val="24"/>
      <w:szCs w:val="24"/>
      <w:effect w:val="none"/>
      <w:em w:val="none"/>
      <w:lang w:val="pt-BR" w:eastAsia="zh-CN" w:bidi="hi-IN"/>
    </w:rPr>
  </w:style>
  <w:style w:type="paragraph" w:styleId="Contedodetabela">
    <w:name w:val="Conteúdo de tabela"/>
    <w:basedOn w:val="Normal1"/>
    <w:qFormat/>
    <w:pPr>
      <w:widowControl/>
      <w:suppressLineNumbers/>
      <w:suppressAutoHyphens w:val="false"/>
      <w:overflowPunct w:val="true"/>
      <w:bidi w:val="0"/>
      <w:spacing w:lineRule="atLeast" w:line="1"/>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Nivel1">
    <w:name w:val="Nivel1"/>
    <w:basedOn w:val="Heading1"/>
    <w:next w:val="Normal1"/>
    <w:qFormat/>
    <w:pPr>
      <w:keepNext w:val="true"/>
      <w:keepLines/>
      <w:widowControl/>
      <w:numPr>
        <w:ilvl w:val="0"/>
        <w:numId w:val="0"/>
      </w:numPr>
      <w:suppressAutoHyphens w:val="false"/>
      <w:overflowPunct w:val="true"/>
      <w:bidi w:val="0"/>
      <w:spacing w:lineRule="auto" w:line="276" w:before="0" w:after="120"/>
      <w:ind w:hanging="0" w:left="0" w:right="0"/>
      <w:jc w:val="both"/>
      <w:textAlignment w:val="baseline"/>
      <w:outlineLvl w:val="9"/>
    </w:pPr>
    <w:rPr>
      <w:rFonts w:ascii="Arial" w:hAnsi="Arial" w:eastAsia="Arial" w:cs="Arial"/>
      <w:b/>
      <w:bCs/>
      <w:color w:val="000000"/>
      <w:w w:val="100"/>
      <w:kern w:val="2"/>
      <w:position w:val="-1"/>
      <w:sz w:val="20"/>
      <w:szCs w:val="20"/>
      <w:effect w:val="none"/>
      <w:em w:val="none"/>
      <w:lang w:val="pt-BR" w:eastAsia="zh-CN" w:bidi="hi-IN"/>
    </w:rPr>
  </w:style>
  <w:style w:type="paragraph" w:styleId="Citao1">
    <w:name w:val="Citação1"/>
    <w:basedOn w:val="Normal1"/>
    <w:next w:val="Normal1"/>
    <w:qFormat/>
    <w:pPr>
      <w:widowControl/>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bidi w:val="0"/>
      <w:spacing w:lineRule="atLeast" w:line="1" w:before="120" w:after="0"/>
      <w:jc w:val="both"/>
      <w:textAlignment w:val="baseline"/>
      <w:outlineLvl w:val="0"/>
    </w:pPr>
    <w:rPr>
      <w:rFonts w:ascii="Ecofont_Spranq_eco_Sans" w:hAnsi="Ecofont_Spranq_eco_Sans" w:eastAsia="Ecofont_Spranq_eco_Sans" w:cs="Ecofont_Spranq_eco_Sans"/>
      <w:i/>
      <w:iCs/>
      <w:color w:val="000000"/>
      <w:w w:val="100"/>
      <w:kern w:val="2"/>
      <w:position w:val="-1"/>
      <w:sz w:val="24"/>
      <w:szCs w:val="24"/>
      <w:highlight w:val="yellow"/>
      <w:effect w:val="none"/>
      <w:em w:val="none"/>
      <w:lang w:val="pt-BR" w:eastAsia="zh-CN" w:bidi="hi-IN"/>
    </w:rPr>
  </w:style>
  <w:style w:type="paragraph" w:styleId="Standard">
    <w:name w:val="Standard"/>
    <w:qFormat/>
    <w:pPr>
      <w:widowControl/>
      <w:suppressAutoHyphens w:val="false"/>
      <w:overflowPunct w:val="true"/>
      <w:bidi w:val="0"/>
      <w:spacing w:lineRule="atLeast" w:line="1" w:before="0" w:after="0"/>
      <w:jc w:val="left"/>
      <w:textAlignment w:val="baseline"/>
      <w:outlineLvl w:val="0"/>
    </w:pPr>
    <w:rPr>
      <w:rFonts w:ascii="Arial" w:hAnsi="Arial" w:eastAsia="Times New Roman" w:cs="Arial"/>
      <w:color w:val="00000A"/>
      <w:w w:val="100"/>
      <w:kern w:val="2"/>
      <w:position w:val="-1"/>
      <w:sz w:val="20"/>
      <w:szCs w:val="20"/>
      <w:effect w:val="none"/>
      <w:em w:val="none"/>
      <w:lang w:val="pt-BR" w:eastAsia="zh-CN" w:bidi="hi-IN"/>
    </w:rPr>
  </w:style>
  <w:style w:type="paragraph" w:styleId="Ttulodetabela">
    <w:name w:val="Título de tabela"/>
    <w:basedOn w:val="Standard"/>
    <w:qFormat/>
    <w:pPr>
      <w:widowControl/>
      <w:suppressAutoHyphens w:val="false"/>
      <w:overflowPunct w:val="true"/>
      <w:bidi w:val="0"/>
      <w:spacing w:lineRule="atLeast" w:line="1"/>
      <w:jc w:val="center"/>
      <w:textAlignment w:val="baseline"/>
    </w:pPr>
    <w:rPr>
      <w:rFonts w:ascii="Arial" w:hAnsi="Arial" w:eastAsia="Times New Roman" w:cs="Arial"/>
      <w:b/>
      <w:bCs/>
      <w:color w:val="00000A"/>
      <w:w w:val="100"/>
      <w:kern w:val="2"/>
      <w:position w:val="-1"/>
      <w:sz w:val="20"/>
      <w:szCs w:val="20"/>
      <w:effect w:val="none"/>
      <w:em w:val="none"/>
      <w:lang w:val="pt-BR" w:eastAsia="zh-CN" w:bidi="hi-IN"/>
    </w:rPr>
  </w:style>
  <w:style w:type="paragraph" w:styleId="BodyText21">
    <w:name w:val="Body Text 21"/>
    <w:basedOn w:val="Normal1"/>
    <w:qFormat/>
    <w:pPr>
      <w:widowControl/>
      <w:suppressAutoHyphens w:val="false"/>
      <w:overflowPunct w:val="true"/>
      <w:bidi w:val="0"/>
      <w:spacing w:lineRule="atLeast" w:line="1"/>
      <w:jc w:val="both"/>
      <w:textAlignment w:val="baseline"/>
      <w:outlineLvl w:val="0"/>
    </w:pPr>
    <w:rPr>
      <w:rFonts w:ascii="Liberation Serif" w:hAnsi="Liberation Serif" w:eastAsia="Arial" w:cs="Arial"/>
      <w:w w:val="100"/>
      <w:kern w:val="2"/>
      <w:position w:val="-1"/>
      <w:sz w:val="24"/>
      <w:szCs w:val="24"/>
      <w:effect w:val="none"/>
      <w:em w:val="none"/>
      <w:lang w:val="pt-BR" w:eastAsia="zh-CN" w:bidi="hi-IN"/>
    </w:rPr>
  </w:style>
  <w:style w:type="paragraph" w:styleId="Textodebalo">
    <w:name w:val="Texto de balão"/>
    <w:basedOn w:val="Estiloaa"/>
    <w:qFormat/>
    <w:pPr>
      <w:widowControl w:val="false"/>
      <w:suppressAutoHyphens w:val="false"/>
      <w:overflowPunct w:val="true"/>
      <w:bidi w:val="0"/>
      <w:spacing w:lineRule="atLeast" w:line="1" w:before="240" w:after="0"/>
      <w:jc w:val="both"/>
      <w:textAlignment w:val="baseline"/>
    </w:pPr>
    <w:rPr>
      <w:rFonts w:ascii="Segoe UI" w:hAnsi="Segoe UI" w:eastAsia="Segoe UI" w:cs="Mangal"/>
      <w:w w:val="100"/>
      <w:kern w:val="2"/>
      <w:position w:val="-1"/>
      <w:sz w:val="18"/>
      <w:szCs w:val="16"/>
      <w:effect w:val="none"/>
      <w:em w:val="none"/>
      <w:lang w:val="pt-BR" w:eastAsia="zh-CN" w:bidi="ar-SA"/>
    </w:rPr>
  </w:style>
  <w:style w:type="paragraph" w:styleId="Textodecomentrio2">
    <w:name w:val="Texto de comentário2"/>
    <w:basedOn w:val="Estiloaa"/>
    <w:qFormat/>
    <w:pPr>
      <w:widowControl w:val="false"/>
      <w:suppressAutoHyphens w:val="false"/>
      <w:overflowPunct w:val="true"/>
      <w:bidi w:val="0"/>
      <w:spacing w:lineRule="atLeast" w:line="1" w:before="240" w:after="0"/>
      <w:jc w:val="both"/>
      <w:textAlignment w:val="baseline"/>
    </w:pPr>
    <w:rPr>
      <w:rFonts w:ascii="Arial" w:hAnsi="Arial" w:eastAsia="Arial" w:cs="Mangal"/>
      <w:w w:val="100"/>
      <w:kern w:val="2"/>
      <w:position w:val="-1"/>
      <w:sz w:val="20"/>
      <w:szCs w:val="18"/>
      <w:effect w:val="none"/>
      <w:em w:val="none"/>
      <w:lang w:val="pt-BR" w:eastAsia="zh-CN" w:bidi="ar-SA"/>
    </w:rPr>
  </w:style>
  <w:style w:type="paragraph" w:styleId="TextosemFormatao1">
    <w:name w:val="Texto sem Formatação1"/>
    <w:basedOn w:val="Normal1"/>
    <w:next w:val="Normal1"/>
    <w:qFormat/>
    <w:pPr>
      <w:widowControl/>
      <w:suppressAutoHyphens w:val="true"/>
      <w:overflowPunct w:val="true"/>
      <w:bidi w:val="0"/>
      <w:spacing w:lineRule="atLeast" w:line="1"/>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Normal11">
    <w:name w:val="Normal11"/>
    <w:qFormat/>
    <w:pPr>
      <w:widowControl/>
      <w:suppressAutoHyphens w:val="false"/>
      <w:overflowPunct w:val="true"/>
      <w:bidi w:val="0"/>
      <w:spacing w:lineRule="atLeast" w:line="1" w:before="0" w:after="0"/>
      <w:jc w:val="left"/>
      <w:textAlignment w:val="baseline"/>
      <w:outlineLvl w:val="0"/>
    </w:pPr>
    <w:rPr>
      <w:rFonts w:ascii="Arial" w:hAnsi="Arial" w:eastAsia="Times New Roman" w:cs="Arial"/>
      <w:color w:val="00000A"/>
      <w:w w:val="100"/>
      <w:kern w:val="2"/>
      <w:position w:val="-1"/>
      <w:sz w:val="20"/>
      <w:szCs w:val="20"/>
      <w:effect w:val="none"/>
      <w:em w:val="none"/>
      <w:lang w:val="pt-BR" w:eastAsia="zh-CN" w:bidi="ar-SA"/>
    </w:rPr>
  </w:style>
  <w:style w:type="paragraph" w:styleId="Padro">
    <w:name w:val="Padrão"/>
    <w:qFormat/>
    <w:pPr>
      <w:widowControl/>
      <w:suppressAutoHyphens w:val="false"/>
      <w:overflowPunct w:val="true"/>
      <w:bidi w:val="0"/>
      <w:spacing w:lineRule="atLeast" w:line="1" w:before="0" w:after="0"/>
      <w:jc w:val="left"/>
      <w:textAlignment w:val="baseline"/>
      <w:outlineLvl w:val="0"/>
    </w:pPr>
    <w:rPr>
      <w:rFonts w:ascii="Times New Roman" w:hAnsi="Times New Roman" w:eastAsia="Times New Roman" w:cs="Times New Roman"/>
      <w:color w:val="auto"/>
      <w:w w:val="100"/>
      <w:kern w:val="2"/>
      <w:position w:val="-1"/>
      <w:sz w:val="24"/>
      <w:szCs w:val="20"/>
      <w:effect w:val="none"/>
      <w:em w:val="none"/>
      <w:lang w:val="en-US" w:eastAsia="zh-CN" w:bidi="hi-IN"/>
    </w:rPr>
  </w:style>
  <w:style w:type="paragraph" w:styleId="Recuodecorpodetexto21">
    <w:name w:val="Recuo de corpo de texto 21"/>
    <w:basedOn w:val="Normal1"/>
    <w:qFormat/>
    <w:pPr>
      <w:widowControl/>
      <w:suppressAutoHyphens w:val="false"/>
      <w:overflowPunct w:val="true"/>
      <w:bidi w:val="0"/>
      <w:spacing w:lineRule="atLeast" w:line="1"/>
      <w:ind w:hanging="0" w:left="360" w:right="0"/>
      <w:jc w:val="both"/>
      <w:textAlignment w:val="auto"/>
      <w:outlineLvl w:val="0"/>
    </w:pPr>
    <w:rPr>
      <w:rFonts w:ascii="Arial" w:hAnsi="Arial" w:eastAsia="Times New Roman" w:cs="Arial"/>
      <w:color w:val="FF0000"/>
      <w:w w:val="100"/>
      <w:kern w:val="0"/>
      <w:position w:val="-1"/>
      <w:sz w:val="24"/>
      <w:szCs w:val="24"/>
      <w:effect w:val="none"/>
      <w:em w:val="none"/>
      <w:lang w:val="pt-BR" w:eastAsia="zh-CN" w:bidi="hi-IN"/>
    </w:rPr>
  </w:style>
  <w:style w:type="paragraph" w:styleId="Textosimples">
    <w:name w:val="Texto simples"/>
    <w:basedOn w:val="Normal1"/>
    <w:next w:val="Normal1"/>
    <w:qFormat/>
    <w:pPr>
      <w:widowControl/>
      <w:suppressAutoHyphens w:val="false"/>
      <w:overflowPunct w:val="true"/>
      <w:bidi w:val="0"/>
      <w:spacing w:lineRule="atLeast" w:line="1"/>
      <w:textAlignment w:val="auto"/>
      <w:outlineLvl w:val="0"/>
    </w:pPr>
    <w:rPr>
      <w:rFonts w:ascii="Arial" w:hAnsi="Arial" w:eastAsia="Times New Roman" w:cs="Arial"/>
      <w:w w:val="100"/>
      <w:kern w:val="0"/>
      <w:position w:val="-1"/>
      <w:sz w:val="24"/>
      <w:szCs w:val="24"/>
      <w:effect w:val="none"/>
      <w:em w:val="none"/>
      <w:lang w:val="pt-BR" w:eastAsia="zh-CN" w:bidi="hi-IN"/>
    </w:rPr>
  </w:style>
  <w:style w:type="paragraph" w:styleId="NormalWeb">
    <w:name w:val="Normal (Web)"/>
    <w:basedOn w:val="Normal1"/>
    <w:qFormat/>
    <w:pPr>
      <w:widowControl/>
      <w:suppressAutoHyphens w:val="true"/>
      <w:overflowPunct w:val="true"/>
      <w:bidi w:val="0"/>
      <w:spacing w:lineRule="atLeast" w:line="1" w:before="280" w:after="280"/>
      <w:textAlignment w:val="auto"/>
      <w:outlineLvl w:val="0"/>
    </w:pPr>
    <w:rPr>
      <w:rFonts w:ascii="Times New Roman" w:hAnsi="Times New Roman" w:eastAsia="Times New Roman" w:cs="Times New Roman"/>
      <w:w w:val="100"/>
      <w:kern w:val="0"/>
      <w:position w:val="-1"/>
      <w:sz w:val="24"/>
      <w:szCs w:val="24"/>
      <w:effect w:val="none"/>
      <w:em w:val="none"/>
      <w:lang w:val="pt-BR" w:eastAsia="zh-CN" w:bidi="hi-IN"/>
    </w:rPr>
  </w:style>
  <w:style w:type="paragraph" w:styleId="Textodecomentrio1">
    <w:name w:val="Texto de comentário1"/>
    <w:basedOn w:val="Normal1"/>
    <w:qFormat/>
    <w:pPr>
      <w:widowControl/>
      <w:suppressAutoHyphens w:val="false"/>
      <w:overflowPunct w:val="true"/>
      <w:bidi w:val="0"/>
      <w:spacing w:lineRule="atLeast" w:line="1"/>
      <w:textAlignment w:val="baseline"/>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TableParagraph">
    <w:name w:val="Table Paragraph"/>
    <w:basedOn w:val="Normal1"/>
    <w:qFormat/>
    <w:pPr>
      <w:widowControl w:val="false"/>
      <w:suppressAutoHyphens w:val="true"/>
      <w:overflowPunct w:val="true"/>
      <w:bidi w:val="0"/>
      <w:spacing w:lineRule="atLeast" w:line="1"/>
      <w:textAlignment w:val="baseline"/>
      <w:outlineLvl w:val="0"/>
    </w:pPr>
    <w:rPr>
      <w:rFonts w:ascii="Times New Roman" w:hAnsi="Times New Roman" w:eastAsia="Times New Roman" w:cs="Times New Roman"/>
      <w:w w:val="100"/>
      <w:kern w:val="2"/>
      <w:position w:val="-1"/>
      <w:sz w:val="24"/>
      <w:szCs w:val="24"/>
      <w:effect w:val="none"/>
      <w:em w:val="none"/>
      <w:lang w:val="pt-BR"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itacoes-e.com.br/" TargetMode="External"/><Relationship Id="rId3" Type="http://schemas.openxmlformats.org/officeDocument/2006/relationships/hyperlink" Target="http://www.comprasparana.pr.gov.br/" TargetMode="External"/><Relationship Id="rId4" Type="http://schemas.openxmlformats.org/officeDocument/2006/relationships/hyperlink" Target="http://www.licitacoes-e.com.br/" TargetMode="External"/><Relationship Id="rId5" Type="http://schemas.openxmlformats.org/officeDocument/2006/relationships/hyperlink" Target="http://www.licitacoes-e.com.br/" TargetMode="External"/><Relationship Id="rId6" Type="http://schemas.openxmlformats.org/officeDocument/2006/relationships/hyperlink" Target="https://www.e-protocolo.pr.gov.br/" TargetMode="External"/><Relationship Id="rId7" Type="http://schemas.openxmlformats.org/officeDocument/2006/relationships/hyperlink" Target="https://www.e-protocolo.pr.gov.b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QHH9TDf0hQNpMw6tCc6pYp1qi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gCgIzNRIaChgICVIUChJ0YWJsZS5xcWxleHE5d213MGwyCWlkLmdqZGd4czIKaWQuMzBqMHpsbDIKaWQuMWZvYjl0ZTIKaWQuM3pueXNoNzIJaC4yZXQ5MnAwMghoLnR5amN3dDIKaWQuM2R5NnZrbTIKaWQuMXQzaDVzZjIKaWQuNGQzNG9nODIKaWQuMnM4ZXlvMTIKaWQuMTdkcDh2dTIKaWQuM3JkY3JqbjIKaWQuMjZpbjFyZzIJaWQubG54Yno5MgloLjM1bmt1bjIyCmlkLjFrc3Y0dXYyCmlkLjQ0c2luaW8yCmlkLjJqeHN4cWgyCWlkLnozMzd5YTIKaWQuM2oycXFtMzIKaWQuMXk4MTB0dzIKaWQuNGk3b2pocDIKaWQuMnhjeXRwaTIKaWQuMWNpOTN4YjgAciExM1V5eW81d1hiZm1EeHRYenVocTRNWDZwaE1Bc2Q5T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290</TotalTime>
  <Application>LibreOffice/24.2.3.2$Windows_X86_64 LibreOffice_project/433d9c2ded56988e8a90e6b2e771ee4e6a5ab2ba</Application>
  <AppVersion>15.0000</AppVersion>
  <Pages>91</Pages>
  <Words>32186</Words>
  <Characters>183838</Characters>
  <CharactersWithSpaces>214344</CharactersWithSpaces>
  <Paragraphs>2044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2021-10-05T13:17:00Z</dcterms:created>
  <dc:creator>Jeane Andreane Pavelegini Medeiros de Brito</dc:creator>
  <dc:description/>
  <dc:language>pt-BR</dc:language>
  <cp:lastModifiedBy/>
  <cp:lastPrinted>2025-02-20T15:17:15Z</cp:lastPrinted>
  <dcterms:modified xsi:type="dcterms:W3CDTF">2025-02-20T15:34:14Z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